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eastAsia="zh-CN"/>
        </w:rPr>
      </w:pPr>
      <w:r>
        <w:rPr>
          <w:rFonts w:hint="eastAsia"/>
          <w:lang w:val="en-US" w:eastAsia="zh-CN"/>
        </w:rPr>
        <w:t>毛芮22011010025 张沈圆22011010028 李汝仪22011010030 张雨萱22011010039</w:t>
      </w:r>
    </w:p>
    <w:p>
      <w:pPr>
        <w:rPr>
          <w:rFonts w:hint="eastAsia"/>
          <w:lang w:val="en-US" w:eastAsia="zh-CN"/>
        </w:rPr>
      </w:pPr>
    </w:p>
    <w:p>
      <w:pPr>
        <w:rPr>
          <w:lang w:val="en-US"/>
        </w:rPr>
      </w:pPr>
      <w:r>
        <w:rPr>
          <w:rFonts w:hint="eastAsia"/>
          <w:lang w:val="en-US" w:eastAsia="zh-CN"/>
        </w:rPr>
        <w:t>题目：</w:t>
      </w:r>
      <w:r>
        <w:rPr>
          <w:rFonts w:hint="default"/>
          <w:lang w:val="en-US" w:eastAsia="zh-CN"/>
        </w:rPr>
        <w:t>STZ(</w:t>
      </w:r>
      <w:r>
        <w:rPr>
          <w:rFonts w:hint="eastAsia"/>
          <w:lang w:val="en-US" w:eastAsia="zh-CN"/>
        </w:rPr>
        <w:t>链脲佐菌素</w:t>
      </w:r>
      <w:r>
        <w:rPr>
          <w:rFonts w:hint="default"/>
          <w:lang w:val="en-US" w:eastAsia="zh-CN"/>
        </w:rPr>
        <w:t>)</w:t>
      </w:r>
      <w:r>
        <w:rPr>
          <w:rFonts w:hint="eastAsia"/>
          <w:lang w:val="en-US" w:eastAsia="zh-CN"/>
        </w:rPr>
        <w:t xml:space="preserve">对小鼠肝组织中 </w:t>
      </w:r>
      <w:r>
        <w:rPr>
          <w:rFonts w:hint="default"/>
          <w:lang w:val="en-US" w:eastAsia="zh-CN"/>
        </w:rPr>
        <w:t xml:space="preserve">iNOS </w:t>
      </w:r>
      <w:r>
        <w:rPr>
          <w:rFonts w:hint="eastAsia"/>
          <w:lang w:val="en-US" w:eastAsia="zh-CN"/>
        </w:rPr>
        <w:t xml:space="preserve">基因表达的影响 </w:t>
      </w:r>
    </w:p>
    <w:p>
      <w:pPr>
        <w:rPr>
          <w:lang w:val="en-US"/>
        </w:rPr>
      </w:pPr>
      <w:r>
        <w:rPr>
          <w:rFonts w:hint="eastAsia"/>
          <w:lang w:val="en-US" w:eastAsia="zh-CN"/>
        </w:rPr>
        <w:t>关键词：</w:t>
      </w:r>
      <w:r>
        <w:rPr>
          <w:rFonts w:hint="default"/>
          <w:lang w:val="en-US" w:eastAsia="zh-CN"/>
        </w:rPr>
        <w:t>STZ</w:t>
      </w:r>
      <w:r>
        <w:rPr>
          <w:rFonts w:hint="eastAsia"/>
          <w:lang w:val="en-US" w:eastAsia="zh-CN"/>
        </w:rPr>
        <w:t>；</w:t>
      </w:r>
      <w:r>
        <w:rPr>
          <w:rFonts w:hint="default"/>
          <w:lang w:val="en-US" w:eastAsia="zh-CN"/>
        </w:rPr>
        <w:t>iNOS</w:t>
      </w:r>
      <w:r>
        <w:rPr>
          <w:rFonts w:hint="eastAsia"/>
          <w:lang w:val="en-US" w:eastAsia="zh-CN"/>
        </w:rPr>
        <w:t>；氧化应激；基因表达；</w:t>
      </w:r>
      <w:r>
        <w:rPr>
          <w:rFonts w:hint="default"/>
          <w:lang w:val="en-US" w:eastAsia="zh-CN"/>
        </w:rPr>
        <w:t>Western Blot</w:t>
      </w:r>
      <w:r>
        <w:rPr>
          <w:rFonts w:hint="eastAsia"/>
          <w:lang w:val="en-US" w:eastAsia="zh-CN"/>
        </w:rPr>
        <w:t>；</w:t>
      </w:r>
      <w:r>
        <w:rPr>
          <w:rFonts w:hint="default"/>
          <w:lang w:val="en-US" w:eastAsia="zh-CN"/>
        </w:rPr>
        <w:t>RT-PCR</w:t>
      </w:r>
    </w:p>
    <w:p>
      <w:pPr>
        <w:rPr>
          <w:rFonts w:hint="eastAsia"/>
          <w:lang w:val="en-US" w:eastAsia="zh-CN"/>
        </w:rPr>
      </w:pPr>
      <w:r>
        <w:rPr>
          <w:rFonts w:hint="eastAsia"/>
          <w:lang w:val="en-US" w:eastAsia="zh-CN"/>
        </w:rPr>
        <w:t>研究背景：</w:t>
      </w:r>
    </w:p>
    <w:p>
      <w:pPr>
        <w:ind w:firstLine="420" w:firstLineChars="200"/>
        <w:rPr>
          <w:lang w:val="en-US"/>
        </w:rPr>
      </w:pPr>
      <w:r>
        <w:rPr>
          <w:lang w:val="en-US"/>
        </w:rPr>
        <w:t>Ⅰ型糖尿病也称胰岛素依赖型糖尿病(insulin-dependent diabetic mellitus, IDDM),其早期的病理改变是胰岛内伴有单核-巨噬细胞浸润的炎症反应。研究显示,这种炎症反应引起的β细胞损伤及胰岛素分泌衰竭与巨噬细胞释放白介素-1(IL-1)、肿瘤坏死因子(tumor necrosing factor, TNF)等,介导诱导型一氧化氮合酶(inducible nitric oxide synthase, iNOS)表达有关。祁忠华等曾测过实验动物血浆一氧化氮(nitric oxide, NO)代谢物浓度和内脏器官中iNOS-mRNA表达。但用原位杂交技术检测外周血白细胞iNOS-mRNA表达的研究尚未见报道。</w:t>
      </w:r>
    </w:p>
    <w:p>
      <w:pPr>
        <w:ind w:firstLine="420" w:firstLineChars="200"/>
        <w:rPr>
          <w:lang w:val="en-US"/>
        </w:rPr>
      </w:pPr>
      <w:bookmarkStart w:id="0" w:name="_GoBack"/>
      <w:bookmarkEnd w:id="0"/>
      <w:r>
        <w:rPr>
          <w:lang w:val="en-US"/>
        </w:rPr>
        <w:t>一氧化氮（NO）是机体细胞产生的一种具有强烈舒血管作用的因子，由一氧化氮合成酶（NOS）合成。NOS包括诱生型（iNOS）和组成型（cNOS)，两者均可利用L﹣精氨酸合成NO。NO在调节肾血流动力学方面具有重要地位，刺激NO产生可使肾血浆流量（RPF)、肾小球滤过率（GFR）升高，而抑制NO合成则使RPF、GFR下降。2003年来对一氧化氮(NO)、一氧化氮合酶(NOS)与糖尿病(DM)及其并发症关系的研究比较重视,多数研究表明DM期NO增高,糖尿病肾病(DN)期NO降低。有研究结果显示，对照组PBL中无eNOS mRNA和iNOS mRNA的表达，DM组两型NOS mRNA均有明显表达，说明两型iNOS mRNA的表达与DM的发生有关。</w:t>
      </w:r>
    </w:p>
    <w:p>
      <w:pPr>
        <w:ind w:firstLine="420" w:firstLineChars="200"/>
        <w:rPr>
          <w:lang w:val="en-US"/>
        </w:rPr>
      </w:pPr>
      <w:r>
        <w:rPr>
          <w:lang w:val="en-US"/>
        </w:rPr>
        <w:t>链脲佐菌素Streptozotocin（STZ），是一种被广泛应用于在实验室动物中诱发糖尿病的化学物质。STZ是一种细胞毒性葡萄糖类似物，通过GLUT2葡萄糖转运体被胰岛β细胞吸收。吸收进细胞后，STZ通过诱导DNA分裂和甲基化来抑制DNA合成，导致细胞死亡。这种对β细胞的细胞毒性会导致胰岛素释放的减少，随后血糖水平升高。有研究表明，STZ糖尿病大鼠模型的胰岛损伤和胰岛素分泌衰竭与大量NO产生有关;同时发现该模型的单核细胞释放IL-1、TNF等细胞因子增加。检测实验组和对照组各5例肝、肺组织中iNOS-mRNA的表达,发现实验组肝、肺组织中的吞噬细胞有阳性表达,而对照组全部呈阴性反应,认为肝、肺组织中这些iNOS-mRNA阳性细胞来自于血液,反映STZ糖尿病大鼠可能存在着全身性单核-巨噬系统iNOS-mRNA表达增强的情况。</w:t>
      </w:r>
    </w:p>
    <w:p>
      <w:pPr>
        <w:rPr>
          <w:rFonts w:hint="eastAsia"/>
          <w:lang w:val="en-US" w:eastAsia="zh-CN"/>
        </w:rPr>
      </w:pPr>
      <w:r>
        <w:rPr>
          <w:rFonts w:hint="eastAsia"/>
          <w:lang w:val="en-US" w:eastAsia="zh-CN"/>
        </w:rPr>
        <w:t>实验设计方案：</w:t>
      </w:r>
    </w:p>
    <w:p>
      <w:pPr>
        <w:rPr>
          <w:rFonts w:hint="default"/>
          <w:lang w:val="en-US" w:eastAsia="zh-CN"/>
        </w:rPr>
      </w:pPr>
      <w:r>
        <w:rPr>
          <w:rFonts w:hint="eastAsia"/>
          <w:lang w:val="en-US" w:eastAsia="zh-CN"/>
        </w:rPr>
        <w:t>1.观察指标：</w:t>
      </w:r>
      <w:r>
        <w:rPr>
          <w:rFonts w:hint="default"/>
          <w:lang w:val="en-US" w:eastAsia="zh-CN"/>
        </w:rPr>
        <w:t>分别检测对照组和实验组小鼠肝组织中iNO</w:t>
      </w:r>
      <w:r>
        <w:rPr>
          <w:rFonts w:hint="eastAsia"/>
          <w:lang w:val="en-US" w:eastAsia="zh-CN"/>
        </w:rPr>
        <w:t>S基因</w:t>
      </w:r>
      <w:r>
        <w:rPr>
          <w:rFonts w:hint="default"/>
          <w:lang w:val="en-US" w:eastAsia="zh-CN"/>
        </w:rPr>
        <w:t>的mRNA的表达量和iNOS蛋白质</w:t>
      </w:r>
      <w:r>
        <w:rPr>
          <w:rFonts w:hint="eastAsia"/>
          <w:lang w:val="en-US" w:eastAsia="zh-CN"/>
        </w:rPr>
        <w:t>的</w:t>
      </w:r>
      <w:r>
        <w:rPr>
          <w:rFonts w:hint="default"/>
          <w:lang w:val="en-US" w:eastAsia="zh-CN"/>
        </w:rPr>
        <w:t>表达量。</w:t>
      </w:r>
    </w:p>
    <w:p>
      <w:pPr>
        <w:rPr>
          <w:rFonts w:hint="eastAsia"/>
          <w:lang w:val="en-US" w:eastAsia="zh-CN"/>
        </w:rPr>
      </w:pPr>
      <w:r>
        <w:rPr>
          <w:rFonts w:hint="eastAsia"/>
          <w:lang w:val="en-US" w:eastAsia="zh-CN"/>
        </w:rPr>
        <w:t>2.</w:t>
      </w:r>
      <w:r>
        <w:rPr>
          <w:rFonts w:hint="default"/>
          <w:lang w:val="en-US" w:eastAsia="zh-CN"/>
        </w:rPr>
        <w:t>检测方法</w:t>
      </w:r>
      <w:r>
        <w:rPr>
          <w:rFonts w:hint="eastAsia"/>
          <w:lang w:val="en-US" w:eastAsia="zh-CN"/>
        </w:rPr>
        <w:t>：</w:t>
      </w:r>
    </w:p>
    <w:p>
      <w:pPr>
        <w:rPr>
          <w:rFonts w:hint="eastAsia"/>
          <w:lang w:val="en-US" w:eastAsia="zh-CN"/>
        </w:rPr>
      </w:pPr>
      <w:r>
        <w:rPr>
          <w:rFonts w:hint="eastAsia"/>
          <w:lang w:val="en-US" w:eastAsia="zh-CN"/>
        </w:rPr>
        <w:t>2.1Western blot技术测定iNOS蛋白浓度</w:t>
      </w:r>
    </w:p>
    <w:p>
      <w:pPr>
        <w:rPr>
          <w:rFonts w:hint="eastAsia"/>
          <w:lang w:val="en-US" w:eastAsia="zh-CN"/>
        </w:rPr>
      </w:pPr>
      <w:r>
        <w:rPr>
          <w:rFonts w:hint="eastAsia"/>
          <w:lang w:val="en-US" w:eastAsia="zh-CN"/>
        </w:rPr>
        <w:t>2.1.1小鼠肝脏组织总蛋白的提取</w:t>
      </w:r>
    </w:p>
    <w:p>
      <w:pPr>
        <w:rPr>
          <w:rFonts w:hint="eastAsia"/>
          <w:lang w:val="en-US" w:eastAsia="zh-CN"/>
        </w:rPr>
      </w:pPr>
      <w:r>
        <w:rPr>
          <w:rFonts w:hint="eastAsia"/>
          <w:lang w:val="en-US" w:eastAsia="zh-CN"/>
        </w:rPr>
        <w:t>（1）颈椎脱白法处死小鼠，取小鼠肝脏，把组织剪切成细小的碎片。</w:t>
      </w:r>
    </w:p>
    <w:p>
      <w:pPr>
        <w:rPr>
          <w:rFonts w:hint="eastAsia"/>
          <w:lang w:val="en-US" w:eastAsia="zh-CN"/>
        </w:rPr>
      </w:pPr>
      <w:r>
        <w:rPr>
          <w:rFonts w:hint="eastAsia"/>
          <w:lang w:val="en-US" w:eastAsia="zh-CN"/>
        </w:rPr>
        <w:t>（2）称取约30 mg肝组织，加入600 μL 含蛋白酶和磷酸酶抑制剂的RIPA裂解液，匀浆后离心取上清液，即得总蛋白。</w:t>
      </w:r>
      <w:r>
        <w:rPr>
          <w:rFonts w:hint="eastAsia"/>
          <w:lang w:val="en-US" w:eastAsia="zh-CN"/>
        </w:rPr>
        <w:tab/>
      </w:r>
    </w:p>
    <w:p>
      <w:pPr>
        <w:rPr>
          <w:rFonts w:hint="eastAsia"/>
          <w:lang w:val="en-US" w:eastAsia="zh-CN"/>
        </w:rPr>
      </w:pPr>
      <w:r>
        <w:rPr>
          <w:rFonts w:hint="eastAsia"/>
          <w:lang w:val="en-US" w:eastAsia="zh-CN"/>
        </w:rPr>
        <w:t>2.1.2 BCA法测定总蛋白浓度</w:t>
      </w:r>
    </w:p>
    <w:p>
      <w:pPr>
        <w:rPr>
          <w:rFonts w:hint="eastAsia"/>
          <w:lang w:val="en-US" w:eastAsia="zh-CN"/>
        </w:rPr>
      </w:pPr>
      <w:r>
        <w:rPr>
          <w:rFonts w:hint="eastAsia"/>
          <w:lang w:val="en-US" w:eastAsia="zh-CN"/>
        </w:rPr>
        <w:t>根据BCA蛋白浓度测定试剂盒说明书测定总蛋白浓度，制备上样缓冲液。</w:t>
      </w:r>
    </w:p>
    <w:p>
      <w:pPr>
        <w:rPr>
          <w:rFonts w:hint="eastAsia"/>
          <w:lang w:val="en-US" w:eastAsia="zh-CN"/>
        </w:rPr>
      </w:pPr>
      <w:r>
        <w:rPr>
          <w:rFonts w:hint="eastAsia"/>
          <w:lang w:val="en-US" w:eastAsia="zh-CN"/>
        </w:rPr>
        <w:t>2.1.3蛋白样品的处理</w:t>
      </w:r>
    </w:p>
    <w:p>
      <w:pPr>
        <w:rPr>
          <w:rFonts w:hint="eastAsia"/>
          <w:lang w:val="en-US" w:eastAsia="zh-CN"/>
        </w:rPr>
      </w:pPr>
      <w:r>
        <w:rPr>
          <w:rFonts w:hint="eastAsia"/>
          <w:lang w:val="en-US" w:eastAsia="zh-CN"/>
        </w:rPr>
        <w:t>测完蛋白含量后,计算含50µg总蛋白的溶液体积即为上样量。取出上样样品至1mL离心管中,加入5×SDS上样缓冲液至终浓度为1×,将样品于沸水中煮5min使蛋白变性。</w:t>
      </w:r>
    </w:p>
    <w:p>
      <w:pPr>
        <w:rPr>
          <w:rFonts w:hint="eastAsia"/>
          <w:lang w:val="en-US" w:eastAsia="zh-CN"/>
        </w:rPr>
      </w:pPr>
      <w:r>
        <w:rPr>
          <w:rFonts w:hint="eastAsia"/>
          <w:lang w:val="en-US" w:eastAsia="zh-CN"/>
        </w:rPr>
        <w:t>2.1.3.1电泳</w:t>
      </w:r>
    </w:p>
    <w:p>
      <w:pPr>
        <w:rPr>
          <w:rFonts w:hint="eastAsia"/>
          <w:lang w:val="en-US" w:eastAsia="zh-CN"/>
        </w:rPr>
      </w:pPr>
      <w:r>
        <w:rPr>
          <w:rFonts w:hint="eastAsia"/>
          <w:lang w:val="en-US" w:eastAsia="zh-CN"/>
        </w:rPr>
        <w:t>（1）准备试剂（6种，ACR及TEMED有毒）和器械，将试剂恢复至室温;</w:t>
      </w:r>
    </w:p>
    <w:p>
      <w:pPr>
        <w:rPr>
          <w:rFonts w:hint="eastAsia"/>
          <w:lang w:val="en-US" w:eastAsia="zh-CN"/>
        </w:rPr>
      </w:pPr>
      <w:r>
        <w:rPr>
          <w:rFonts w:hint="eastAsia"/>
          <w:lang w:val="en-US" w:eastAsia="zh-CN"/>
        </w:rPr>
        <w:t>（2）清洗电泳所用的玻璃板，晾干或 60 ～ 70℃ 烤干;</w:t>
      </w:r>
    </w:p>
    <w:p>
      <w:pPr>
        <w:rPr>
          <w:rFonts w:hint="eastAsia"/>
          <w:lang w:val="en-US" w:eastAsia="zh-CN"/>
        </w:rPr>
      </w:pPr>
      <w:r>
        <w:rPr>
          <w:rFonts w:hint="eastAsia"/>
          <w:lang w:val="en-US" w:eastAsia="zh-CN"/>
        </w:rPr>
        <w:t>（3）安装玻璃板(长板在外、短板在内) 并插挡板固定（拧紧以防漏胶）;</w:t>
      </w:r>
    </w:p>
    <w:p>
      <w:pPr>
        <w:rPr>
          <w:rFonts w:hint="eastAsia"/>
          <w:lang w:val="en-US" w:eastAsia="zh-CN"/>
        </w:rPr>
      </w:pPr>
      <w:r>
        <w:rPr>
          <w:rFonts w:hint="eastAsia"/>
          <w:lang w:val="en-US" w:eastAsia="zh-CN"/>
        </w:rPr>
        <w:t>（4）配胶: 分离胶和浓缩胶（按照配方剂量选择合适剂量的移液器及枪头，调好至相应计量备用）;</w:t>
      </w:r>
    </w:p>
    <w:p>
      <w:pPr>
        <w:rPr>
          <w:rFonts w:hint="default"/>
          <w:lang w:val="en-US" w:eastAsia="zh-CN"/>
        </w:rPr>
      </w:pPr>
      <w:r>
        <w:rPr>
          <w:rFonts w:hint="eastAsia"/>
          <w:lang w:val="en-US" w:eastAsia="zh-CN"/>
        </w:rPr>
        <w:t>（5）异丙醇封闭，静置20~40min；</w:t>
      </w:r>
    </w:p>
    <w:p>
      <w:pPr>
        <w:rPr>
          <w:rFonts w:hint="eastAsia"/>
          <w:lang w:val="en-US" w:eastAsia="zh-CN"/>
        </w:rPr>
      </w:pPr>
      <w:r>
        <w:rPr>
          <w:rFonts w:hint="eastAsia"/>
          <w:lang w:val="en-US" w:eastAsia="zh-CN"/>
        </w:rPr>
        <w:t>（6）-80℃冰箱取出蛋白样本插至冰中融化备用，-20℃冰箱取出marker及buffer插至冰中融化备用；</w:t>
      </w:r>
    </w:p>
    <w:p>
      <w:pPr>
        <w:rPr>
          <w:rFonts w:hint="eastAsia"/>
          <w:lang w:val="en-US" w:eastAsia="zh-CN"/>
        </w:rPr>
      </w:pPr>
      <w:r>
        <w:rPr>
          <w:rFonts w:hint="eastAsia"/>
          <w:lang w:val="en-US" w:eastAsia="zh-CN"/>
        </w:rPr>
        <w:t>（7）放好电泳槽，加入配置好的1x电泳液，上样，根据实验要求选择电压和时间。</w:t>
      </w:r>
    </w:p>
    <w:p>
      <w:pPr>
        <w:rPr>
          <w:rFonts w:hint="eastAsia"/>
          <w:lang w:val="en-US" w:eastAsia="zh-CN"/>
        </w:rPr>
      </w:pPr>
      <w:r>
        <w:rPr>
          <w:rFonts w:hint="eastAsia"/>
          <w:lang w:val="en-US" w:eastAsia="zh-CN"/>
        </w:rPr>
        <w:t>2.1.3.2 电泳转膜</w:t>
      </w:r>
    </w:p>
    <w:p>
      <w:pPr>
        <w:rPr>
          <w:rFonts w:hint="eastAsia"/>
          <w:lang w:val="en-US" w:eastAsia="zh-CN"/>
        </w:rPr>
      </w:pPr>
      <w:r>
        <w:rPr>
          <w:rFonts w:hint="eastAsia"/>
          <w:lang w:val="en-US" w:eastAsia="zh-CN"/>
        </w:rPr>
        <w:t>（1）将玻璃板撬开，根据目的条件选择切胶位置。切胶时根据溴酚兰的位置先将左右两侧多余的凝胶切去，然后根据 Marker 切去上下多余的凝胶，在胶块右下角切去一小角作为标记，测量胶的大小后将凝胶置于转膜液中浸泡。</w:t>
      </w:r>
    </w:p>
    <w:p>
      <w:pPr>
        <w:rPr>
          <w:rFonts w:hint="eastAsia"/>
          <w:lang w:val="en-US" w:eastAsia="zh-CN"/>
        </w:rPr>
      </w:pPr>
      <w:r>
        <w:rPr>
          <w:rFonts w:hint="eastAsia"/>
          <w:lang w:val="en-US" w:eastAsia="zh-CN"/>
        </w:rPr>
        <w:t>（2）转一张膜需准备 4 张 3 mm 的滤纸和 1 张 PVDF 膜。根据凝胶大小裁剪滤纸和 PVDF 膜( PVDF 膜右下剪角作标记)，将 PVDF 膜置于甲醇中激活1min，浸泡于转膜液中待用。</w:t>
      </w:r>
    </w:p>
    <w:p>
      <w:pPr>
        <w:rPr>
          <w:rFonts w:hint="eastAsia"/>
          <w:lang w:val="en-US" w:eastAsia="zh-CN"/>
        </w:rPr>
      </w:pPr>
      <w:r>
        <w:rPr>
          <w:rFonts w:hint="eastAsia"/>
          <w:lang w:val="en-US" w:eastAsia="zh-CN"/>
        </w:rPr>
        <w:t>（3）将分离胶盖于滤纸上，用手调整使其与滤纸对齐，轻轻用滚轮擀去气泡。将膜盖于胶上，要盖满整个胶，并除去气泡。在膜上盖两层滤纸并除去气泡。整个操作在转移液中进行，膜两边的滤纸不能相互接触，否则会发生短路。</w:t>
      </w:r>
    </w:p>
    <w:p>
      <w:pPr>
        <w:rPr>
          <w:rFonts w:hint="eastAsia"/>
          <w:lang w:val="en-US" w:eastAsia="zh-CN"/>
        </w:rPr>
      </w:pPr>
      <w:r>
        <w:rPr>
          <w:rFonts w:hint="eastAsia"/>
          <w:lang w:val="en-US" w:eastAsia="zh-CN"/>
        </w:rPr>
        <w:t>（4）根据实验需求选择半干转或湿转，注意电极的正负。</w:t>
      </w:r>
    </w:p>
    <w:p>
      <w:pPr>
        <w:rPr>
          <w:rFonts w:hint="eastAsia"/>
          <w:lang w:val="en-US" w:eastAsia="zh-CN"/>
        </w:rPr>
      </w:pPr>
      <w:r>
        <w:rPr>
          <w:rFonts w:hint="eastAsia"/>
          <w:lang w:val="en-US" w:eastAsia="zh-CN"/>
        </w:rPr>
        <w:t>2.1.3.3 免疫反应</w:t>
      </w:r>
    </w:p>
    <w:p>
      <w:pPr>
        <w:rPr>
          <w:rFonts w:hint="eastAsia"/>
          <w:lang w:val="en-US" w:eastAsia="zh-CN"/>
        </w:rPr>
      </w:pPr>
      <w:r>
        <w:rPr>
          <w:rFonts w:hint="eastAsia"/>
          <w:lang w:val="en-US" w:eastAsia="zh-CN"/>
        </w:rPr>
        <w:t>（1）将膜用 PBS 冲洗 10 min 后，移至用 PBST 配置的 5% 脱脂奶粉封闭液中，室温下摇床上摇动封闭 2 h。</w:t>
      </w:r>
    </w:p>
    <w:p>
      <w:pPr>
        <w:rPr>
          <w:rFonts w:hint="eastAsia"/>
          <w:lang w:val="en-US" w:eastAsia="zh-CN"/>
        </w:rPr>
      </w:pPr>
      <w:r>
        <w:rPr>
          <w:rFonts w:hint="eastAsia"/>
          <w:lang w:val="en-US" w:eastAsia="zh-CN"/>
        </w:rPr>
        <w:t>（2）将一抗用 PBST 稀释至适当浓度; 从封闭液中取出膜，置于抗体稀释液中。摇床 4℃ 孵育过夜。</w:t>
      </w:r>
    </w:p>
    <w:p>
      <w:pPr>
        <w:rPr>
          <w:rFonts w:hint="eastAsia"/>
          <w:lang w:val="en-US" w:eastAsia="zh-CN"/>
        </w:rPr>
      </w:pPr>
      <w:r>
        <w:rPr>
          <w:rFonts w:hint="eastAsia"/>
          <w:lang w:val="en-US" w:eastAsia="zh-CN"/>
        </w:rPr>
        <w:t>（3）用 TBST 在室温下摇床上洗三次，每次 10 min。</w:t>
      </w:r>
    </w:p>
    <w:p>
      <w:pPr>
        <w:rPr>
          <w:rFonts w:hint="eastAsia"/>
          <w:lang w:val="en-US" w:eastAsia="zh-CN"/>
        </w:rPr>
      </w:pPr>
      <w:r>
        <w:rPr>
          <w:rFonts w:hint="eastAsia"/>
          <w:lang w:val="en-US" w:eastAsia="zh-CN"/>
        </w:rPr>
        <w:t>（4）同上方法准备二抗稀释液并与膜接触，室温下孵育 2 h。</w:t>
      </w:r>
    </w:p>
    <w:p>
      <w:pPr>
        <w:rPr>
          <w:rFonts w:hint="eastAsia"/>
          <w:lang w:val="en-US" w:eastAsia="zh-CN"/>
        </w:rPr>
      </w:pPr>
      <w:r>
        <w:rPr>
          <w:rFonts w:hint="eastAsia"/>
          <w:lang w:val="en-US" w:eastAsia="zh-CN"/>
        </w:rPr>
        <w:t>（5）用 TBST 在室温下摇床上洗三次，每次 10 min，进行化学发光反应。</w:t>
      </w:r>
    </w:p>
    <w:p>
      <w:pPr>
        <w:rPr>
          <w:rFonts w:hint="eastAsia"/>
          <w:lang w:val="en-US" w:eastAsia="zh-CN"/>
        </w:rPr>
      </w:pPr>
      <w:r>
        <w:rPr>
          <w:rFonts w:hint="eastAsia"/>
          <w:lang w:val="en-US" w:eastAsia="zh-CN"/>
        </w:rPr>
        <w:t>（6）化学发光，显影，定影。</w:t>
      </w:r>
    </w:p>
    <w:p>
      <w:pPr>
        <w:rPr>
          <w:rFonts w:hint="eastAsia"/>
          <w:lang w:val="en-US" w:eastAsia="zh-CN"/>
        </w:rPr>
      </w:pPr>
      <w:r>
        <w:rPr>
          <w:rFonts w:hint="eastAsia"/>
          <w:lang w:val="en-US" w:eastAsia="zh-CN"/>
        </w:rPr>
        <w:t>2.2 RT-PCR技术测定iNOS的mRNA表达量</w:t>
      </w:r>
    </w:p>
    <w:p>
      <w:pPr>
        <w:rPr>
          <w:rFonts w:hint="eastAsia"/>
          <w:lang w:val="en-US" w:eastAsia="zh-CN"/>
        </w:rPr>
      </w:pPr>
      <w:r>
        <w:rPr>
          <w:rFonts w:hint="eastAsia"/>
          <w:lang w:val="en-US" w:eastAsia="zh-CN"/>
        </w:rPr>
        <w:t>2.2.1 组织总RNA提取（TRIZOL法）</w:t>
      </w:r>
    </w:p>
    <w:p>
      <w:pPr>
        <w:rPr>
          <w:rFonts w:hint="eastAsia"/>
          <w:lang w:val="en-US" w:eastAsia="zh-CN"/>
        </w:rPr>
      </w:pPr>
      <w:r>
        <w:rPr>
          <w:rFonts w:hint="eastAsia"/>
          <w:lang w:val="en-US" w:eastAsia="zh-CN"/>
        </w:rPr>
        <w:t>（1）取50~100mg新鲜的小鼠肝组织，加入1mlTrizol充分匀浆，室温静置5分钟，4℃，12000rpm离心10分钟。</w:t>
      </w:r>
    </w:p>
    <w:p>
      <w:pPr>
        <w:rPr>
          <w:rFonts w:hint="eastAsia"/>
          <w:lang w:val="en-US" w:eastAsia="zh-CN"/>
        </w:rPr>
      </w:pPr>
      <w:r>
        <w:rPr>
          <w:rFonts w:hint="eastAsia"/>
          <w:lang w:val="en-US" w:eastAsia="zh-CN"/>
        </w:rPr>
        <w:t>（2）上清液移至一新的用DEPC处理过的EP管（1.5ml）中，加入0.5ml异丙醇，振荡混合，室温静置5分钟。4℃，12000rpm离心15分钟。</w:t>
      </w:r>
    </w:p>
    <w:p>
      <w:pPr>
        <w:rPr>
          <w:rFonts w:hint="eastAsia"/>
          <w:lang w:val="en-US" w:eastAsia="zh-CN"/>
        </w:rPr>
      </w:pPr>
      <w:r>
        <w:rPr>
          <w:rFonts w:hint="eastAsia"/>
          <w:lang w:val="en-US" w:eastAsia="zh-CN"/>
        </w:rPr>
        <w:t>（3）小心将上清液无色水相移至一新的EP管（DEPC处理）中，加入0.5ml异丙醇，颠倒混匀数次，室温静置10分钟，4℃，12000rmp离心15分钟，倒掉上清。</w:t>
      </w:r>
    </w:p>
    <w:p>
      <w:pPr>
        <w:rPr>
          <w:rFonts w:hint="eastAsia"/>
          <w:lang w:val="en-US" w:eastAsia="zh-CN"/>
        </w:rPr>
      </w:pPr>
      <w:r>
        <w:rPr>
          <w:rFonts w:hint="eastAsia"/>
          <w:lang w:val="en-US" w:eastAsia="zh-CN"/>
        </w:rPr>
        <w:t>（4）加入1ml75%乙醇（4℃保存），振荡混合。4℃，7500rmp离心5分钟，倒掉上清。</w:t>
      </w:r>
    </w:p>
    <w:p>
      <w:pPr>
        <w:rPr>
          <w:rFonts w:hint="eastAsia"/>
          <w:lang w:val="en-US" w:eastAsia="zh-CN"/>
        </w:rPr>
      </w:pPr>
      <w:r>
        <w:rPr>
          <w:rFonts w:hint="eastAsia"/>
          <w:lang w:val="en-US" w:eastAsia="zh-CN"/>
        </w:rPr>
        <w:t>（5）室温或37℃放置20min（EP管倒置在滤纸上），使RNA沉淀干燥，加入20ul DEPCH2O充分溶解RNA</w:t>
      </w:r>
    </w:p>
    <w:p>
      <w:pPr>
        <w:rPr>
          <w:rFonts w:hint="eastAsia"/>
          <w:lang w:val="en-US" w:eastAsia="zh-CN"/>
        </w:rPr>
      </w:pPr>
      <w:r>
        <w:rPr>
          <w:rFonts w:hint="eastAsia"/>
          <w:lang w:val="en-US" w:eastAsia="zh-CN"/>
        </w:rPr>
        <w:t>（6）RNA纯度鉴定 取1ulRAN溶液测定OD260/OD280比值，≥2.0为合格。</w:t>
      </w:r>
    </w:p>
    <w:p>
      <w:pPr>
        <w:rPr>
          <w:rFonts w:hint="eastAsia"/>
          <w:lang w:val="en-US" w:eastAsia="zh-CN"/>
        </w:rPr>
      </w:pPr>
      <w:r>
        <w:rPr>
          <w:rFonts w:hint="eastAsia"/>
          <w:lang w:val="en-US" w:eastAsia="zh-CN"/>
        </w:rPr>
        <w:t>（7）RNA完整性鉴定 取3ulRNA溶液，行1%琼脂糖凝胶电泳。电泳后的凝胶于紫外光下，可见由正极向负极依次增强5S，18S和28S三条荧光区带，即为高质量RNA。</w:t>
      </w:r>
    </w:p>
    <w:p>
      <w:pPr>
        <w:rPr>
          <w:rFonts w:hint="eastAsia"/>
          <w:lang w:val="en-US" w:eastAsia="zh-CN"/>
        </w:rPr>
      </w:pPr>
      <w:r>
        <w:rPr>
          <w:rFonts w:hint="eastAsia"/>
          <w:lang w:val="en-US" w:eastAsia="zh-CN"/>
        </w:rPr>
        <w:t>2.2.2 cDNA第一链的合成</w:t>
      </w:r>
    </w:p>
    <w:p>
      <w:pPr>
        <w:rPr>
          <w:rFonts w:hint="eastAsia"/>
          <w:lang w:val="en-US" w:eastAsia="zh-CN"/>
        </w:rPr>
      </w:pPr>
      <w:r>
        <w:rPr>
          <w:rFonts w:hint="eastAsia"/>
          <w:lang w:val="en-US" w:eastAsia="zh-CN"/>
        </w:rPr>
        <w:t>（1）在微量离心管中，加入以下：</w:t>
      </w:r>
    </w:p>
    <w:p>
      <w:pPr>
        <w:rPr>
          <w:rFonts w:hint="eastAsia"/>
          <w:lang w:val="en-US" w:eastAsia="zh-CN"/>
        </w:rPr>
      </w:pPr>
      <w:r>
        <w:rPr>
          <w:rFonts w:hint="eastAsia"/>
          <w:lang w:val="en-US" w:eastAsia="zh-CN"/>
        </w:rPr>
        <w:t>总RNA1~5ugOligo(dT)(100ug/ml)</w:t>
      </w:r>
      <w:r>
        <w:rPr>
          <w:rFonts w:hint="eastAsia"/>
          <w:lang w:val="en-US" w:eastAsia="zh-CN"/>
        </w:rPr>
        <w:tab/>
      </w:r>
      <w:r>
        <w:rPr>
          <w:rFonts w:hint="eastAsia"/>
          <w:lang w:val="en-US" w:eastAsia="zh-CN"/>
        </w:rPr>
        <w:t>1ul，补充适量</w:t>
      </w:r>
    </w:p>
    <w:p>
      <w:pPr>
        <w:rPr>
          <w:rFonts w:hint="eastAsia"/>
          <w:lang w:val="en-US" w:eastAsia="zh-CN"/>
        </w:rPr>
      </w:pPr>
      <w:r>
        <w:rPr>
          <w:rFonts w:hint="eastAsia"/>
          <w:lang w:val="en-US" w:eastAsia="zh-CN"/>
        </w:rPr>
        <w:t>DEPCH2O使总面积达10ul。轻轻混匀、离心。</w:t>
      </w:r>
    </w:p>
    <w:p>
      <w:pPr>
        <w:rPr>
          <w:rFonts w:hint="eastAsia"/>
          <w:lang w:val="en-US" w:eastAsia="zh-CN"/>
        </w:rPr>
      </w:pPr>
      <w:r>
        <w:rPr>
          <w:rFonts w:hint="eastAsia"/>
          <w:lang w:val="en-US" w:eastAsia="zh-CN"/>
        </w:rPr>
        <w:t>（2）PCR仪上70℃加热5分钟，立即将微量离心管插入冰浴中至少1分钟。</w:t>
      </w:r>
    </w:p>
    <w:p>
      <w:pPr>
        <w:rPr>
          <w:rFonts w:hint="eastAsia"/>
          <w:lang w:val="en-US" w:eastAsia="zh-CN"/>
        </w:rPr>
      </w:pPr>
      <w:r>
        <w:rPr>
          <w:rFonts w:hint="eastAsia"/>
          <w:lang w:val="en-US" w:eastAsia="zh-CN"/>
        </w:rPr>
        <w:t>（3）然后加入以下试剂：</w:t>
      </w:r>
    </w:p>
    <w:p>
      <w:pPr>
        <w:rPr>
          <w:rFonts w:hint="eastAsia"/>
          <w:lang w:val="en-US" w:eastAsia="zh-CN"/>
        </w:rPr>
      </w:pPr>
      <w:r>
        <w:rPr>
          <w:rFonts w:hint="eastAsia"/>
          <w:lang w:val="en-US" w:eastAsia="zh-CN"/>
        </w:rPr>
        <w:t xml:space="preserve">         5×buffer                             4ul</w:t>
      </w:r>
    </w:p>
    <w:p>
      <w:pPr>
        <w:rPr>
          <w:rFonts w:hint="eastAsia"/>
          <w:lang w:val="en-US" w:eastAsia="zh-CN"/>
        </w:rPr>
      </w:pPr>
      <w:r>
        <w:rPr>
          <w:rFonts w:hint="eastAsia"/>
          <w:lang w:val="en-US" w:eastAsia="zh-CN"/>
        </w:rPr>
        <w:t xml:space="preserve">         4种dNTP(每种浓度10mmol/L)           2ul</w:t>
      </w:r>
    </w:p>
    <w:p>
      <w:pPr>
        <w:rPr>
          <w:rFonts w:hint="eastAsia"/>
          <w:lang w:val="en-US" w:eastAsia="zh-CN"/>
        </w:rPr>
      </w:pPr>
      <w:r>
        <w:rPr>
          <w:rFonts w:hint="eastAsia"/>
          <w:lang w:val="en-US" w:eastAsia="zh-CN"/>
        </w:rPr>
        <w:t xml:space="preserve">         DTT                                  2ul</w:t>
      </w:r>
    </w:p>
    <w:p>
      <w:pPr>
        <w:rPr>
          <w:rFonts w:hint="eastAsia"/>
          <w:lang w:val="en-US" w:eastAsia="zh-CN"/>
        </w:rPr>
      </w:pPr>
      <w:r>
        <w:rPr>
          <w:rFonts w:hint="eastAsia"/>
          <w:lang w:val="en-US" w:eastAsia="zh-CN"/>
        </w:rPr>
        <w:t xml:space="preserve">         RNase抑制剂                         0.5ul</w:t>
      </w:r>
    </w:p>
    <w:p>
      <w:pPr>
        <w:rPr>
          <w:rFonts w:hint="eastAsia"/>
          <w:lang w:val="en-US" w:eastAsia="zh-CN"/>
        </w:rPr>
      </w:pPr>
      <w:r>
        <w:rPr>
          <w:rFonts w:hint="eastAsia"/>
          <w:lang w:val="en-US" w:eastAsia="zh-CN"/>
        </w:rPr>
        <w:t xml:space="preserve">         RTase                                1ul</w:t>
      </w:r>
    </w:p>
    <w:p>
      <w:pPr>
        <w:rPr>
          <w:rFonts w:hint="eastAsia"/>
          <w:lang w:val="en-US" w:eastAsia="zh-CN"/>
        </w:rPr>
      </w:pPr>
      <w:r>
        <w:rPr>
          <w:rFonts w:hint="eastAsia"/>
          <w:lang w:val="en-US" w:eastAsia="zh-CN"/>
        </w:rPr>
        <w:t>轻轻混匀，离心。</w:t>
      </w:r>
    </w:p>
    <w:p>
      <w:pPr>
        <w:rPr>
          <w:rFonts w:hint="eastAsia"/>
          <w:lang w:val="en-US" w:eastAsia="zh-CN"/>
        </w:rPr>
      </w:pPr>
      <w:r>
        <w:rPr>
          <w:rFonts w:hint="eastAsia"/>
          <w:lang w:val="en-US" w:eastAsia="zh-CN"/>
        </w:rPr>
        <w:t xml:space="preserve">（4）42℃孵育60分钟。 </w:t>
      </w:r>
    </w:p>
    <w:p>
      <w:pPr>
        <w:rPr>
          <w:rFonts w:hint="eastAsia"/>
          <w:lang w:val="en-US" w:eastAsia="zh-CN"/>
        </w:rPr>
      </w:pPr>
      <w:r>
        <w:rPr>
          <w:rFonts w:hint="eastAsia"/>
          <w:lang w:val="en-US" w:eastAsia="zh-CN"/>
        </w:rPr>
        <w:t>（5）于95℃加热5~10分钟以终止反应，将管插入冰中。</w:t>
      </w:r>
    </w:p>
    <w:p>
      <w:pPr>
        <w:rPr>
          <w:rFonts w:hint="eastAsia"/>
          <w:lang w:val="en-US" w:eastAsia="zh-CN"/>
        </w:rPr>
      </w:pPr>
      <w:r>
        <w:rPr>
          <w:rFonts w:hint="eastAsia"/>
          <w:lang w:val="en-US" w:eastAsia="zh-CN"/>
        </w:rPr>
        <w:t>2.2.3  PCR扩增</w:t>
      </w:r>
    </w:p>
    <w:p>
      <w:pPr>
        <w:rPr>
          <w:rFonts w:hint="eastAsia"/>
          <w:lang w:val="en-US" w:eastAsia="zh-CN"/>
        </w:rPr>
      </w:pPr>
      <w:r>
        <w:rPr>
          <w:rFonts w:hint="eastAsia"/>
          <w:lang w:val="en-US" w:eastAsia="zh-CN"/>
        </w:rPr>
        <w:t>（1）在0.5ml的无菌drof管依次加入反应缓冲液、底物、上下游引物、Taq酶、DNA模板各5ul,总反应体积为25ul.</w:t>
      </w:r>
    </w:p>
    <w:p>
      <w:pPr>
        <w:rPr>
          <w:rFonts w:hint="eastAsia"/>
          <w:lang w:val="en-US" w:eastAsia="zh-CN"/>
        </w:rPr>
      </w:pPr>
      <w:r>
        <w:rPr>
          <w:rFonts w:hint="eastAsia"/>
          <w:lang w:val="en-US" w:eastAsia="zh-CN"/>
        </w:rPr>
        <w:t>（2）离心混匀后，将drof管放入PCR仪。</w:t>
      </w:r>
    </w:p>
    <w:p>
      <w:pPr>
        <w:rPr>
          <w:rFonts w:hint="eastAsia"/>
          <w:lang w:val="en-US" w:eastAsia="zh-CN"/>
        </w:rPr>
      </w:pPr>
      <w:r>
        <w:rPr>
          <w:rFonts w:hint="eastAsia"/>
          <w:lang w:val="en-US" w:eastAsia="zh-CN"/>
        </w:rPr>
        <w:t>（3）进行PCR扩增，反应条件为：</w:t>
      </w:r>
    </w:p>
    <w:p>
      <w:pPr>
        <w:rPr>
          <w:rFonts w:hint="eastAsia"/>
          <w:lang w:val="en-US" w:eastAsia="zh-CN"/>
        </w:rPr>
      </w:pPr>
      <w:r>
        <w:rPr>
          <w:rFonts w:hint="eastAsia"/>
          <w:lang w:val="en-US" w:eastAsia="zh-CN"/>
        </w:rPr>
        <w:t>①95℃预变性5分钟。</w:t>
      </w:r>
    </w:p>
    <w:p>
      <w:pPr>
        <w:rPr>
          <w:rFonts w:hint="eastAsia"/>
          <w:lang w:val="en-US" w:eastAsia="zh-CN"/>
        </w:rPr>
      </w:pPr>
      <w:r>
        <w:rPr>
          <w:rFonts w:hint="eastAsia"/>
          <w:lang w:val="en-US" w:eastAsia="zh-CN"/>
        </w:rPr>
        <w:t>②94℃变性40秒，58℃退火40秒，72℃延伸1分钟，循环26次。</w:t>
      </w:r>
    </w:p>
    <w:p>
      <w:pPr>
        <w:rPr>
          <w:rFonts w:hint="eastAsia"/>
          <w:lang w:val="en-US" w:eastAsia="zh-CN"/>
        </w:rPr>
      </w:pPr>
      <w:r>
        <w:rPr>
          <w:rFonts w:hint="eastAsia"/>
          <w:lang w:val="en-US" w:eastAsia="zh-CN"/>
        </w:rPr>
        <w:t>③72℃延伸5分钟。</w:t>
      </w:r>
    </w:p>
    <w:p>
      <w:pPr>
        <w:rPr>
          <w:rFonts w:hint="eastAsia"/>
          <w:lang w:val="en-US" w:eastAsia="zh-CN"/>
        </w:rPr>
      </w:pPr>
      <w:r>
        <w:rPr>
          <w:rFonts w:hint="eastAsia"/>
          <w:lang w:val="en-US" w:eastAsia="zh-CN"/>
        </w:rPr>
        <w:t>扩增完成后，取扩增液10ul，加入2ul 6×上样缓冲液混匀，在1.5%琼脂糖凝胶（配置30ml凝胶加入1~2ulEB）中电泳30分钟。电泳缓冲液：1×TBE；电压：100V。最后通过紫外透射鉴定。</w:t>
      </w:r>
    </w:p>
    <w:p>
      <w:pPr>
        <w:rPr>
          <w:rFonts w:hint="eastAsia"/>
          <w:lang w:val="en-US" w:eastAsia="zh-CN"/>
        </w:rPr>
      </w:pPr>
    </w:p>
    <w:p>
      <w:pPr>
        <w:rPr>
          <w:rFonts w:hint="eastAsia"/>
          <w:lang w:val="en-US" w:eastAsia="zh-CN"/>
        </w:rPr>
      </w:pPr>
      <w:r>
        <w:rPr>
          <w:rFonts w:hint="eastAsia"/>
          <w:lang w:val="en-US" w:eastAsia="zh-CN"/>
        </w:rPr>
        <w:t>实验预期</w:t>
      </w:r>
    </w:p>
    <w:tbl>
      <w:tblPr>
        <w:tblStyle w:val="4"/>
        <w:tblpPr w:leftFromText="180" w:rightFromText="180" w:vertAnchor="text" w:horzAnchor="page" w:tblpX="1902" w:tblpY="60"/>
        <w:tblOverlap w:val="never"/>
        <w:tblW w:w="85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27"/>
        <w:gridCol w:w="2933"/>
        <w:gridCol w:w="48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3" w:hRule="atLeast"/>
        </w:trPr>
        <w:tc>
          <w:tcPr>
            <w:tcW w:w="727" w:type="dxa"/>
            <w:tcBorders>
              <w:top w:val="single" w:color="auto" w:sz="4" w:space="0"/>
              <w:left w:val="single" w:color="auto" w:sz="4" w:space="0"/>
              <w:bottom w:val="single" w:color="auto" w:sz="4" w:space="0"/>
              <w:right w:val="single" w:color="auto" w:sz="4" w:space="0"/>
            </w:tcBorders>
          </w:tcPr>
          <w:p>
            <w:pPr>
              <w:rPr>
                <w:lang w:val="en-US"/>
              </w:rPr>
            </w:pPr>
          </w:p>
        </w:tc>
        <w:tc>
          <w:tcPr>
            <w:tcW w:w="2933" w:type="dxa"/>
            <w:tcBorders>
              <w:top w:val="single" w:color="auto" w:sz="4" w:space="0"/>
              <w:left w:val="single" w:color="auto" w:sz="4" w:space="0"/>
              <w:bottom w:val="single" w:color="auto" w:sz="4" w:space="0"/>
              <w:right w:val="single" w:color="auto" w:sz="4" w:space="0"/>
            </w:tcBorders>
          </w:tcPr>
          <w:p>
            <w:pPr>
              <w:rPr>
                <w:lang w:val="en-US"/>
              </w:rPr>
            </w:pPr>
            <w:r>
              <w:rPr>
                <w:rFonts w:hint="eastAsia"/>
                <w:lang w:val="en-US"/>
              </w:rPr>
              <w:t>条件</w:t>
            </w:r>
          </w:p>
        </w:tc>
        <w:tc>
          <w:tcPr>
            <w:tcW w:w="4840" w:type="dxa"/>
            <w:tcBorders>
              <w:top w:val="single" w:color="auto" w:sz="4" w:space="0"/>
              <w:left w:val="single" w:color="auto" w:sz="4" w:space="0"/>
              <w:bottom w:val="single" w:color="auto" w:sz="4" w:space="0"/>
              <w:right w:val="single" w:color="auto" w:sz="4" w:space="0"/>
            </w:tcBorders>
          </w:tcPr>
          <w:p>
            <w:pPr>
              <w:rPr>
                <w:lang w:val="en-US"/>
              </w:rPr>
            </w:pPr>
            <w:r>
              <w:rPr>
                <w:lang w:val="en-US"/>
              </w:rPr>
              <w:t>iNOS</w:t>
            </w:r>
            <w:r>
              <w:rPr>
                <w:rFonts w:hint="eastAsia"/>
                <w:lang w:val="en-US"/>
              </w:rPr>
              <w:t>的表达量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3" w:hRule="atLeast"/>
        </w:trPr>
        <w:tc>
          <w:tcPr>
            <w:tcW w:w="727" w:type="dxa"/>
            <w:tcBorders>
              <w:top w:val="single" w:color="auto" w:sz="4" w:space="0"/>
              <w:left w:val="single" w:color="auto" w:sz="4" w:space="0"/>
              <w:bottom w:val="single" w:color="auto" w:sz="4" w:space="0"/>
              <w:right w:val="single" w:color="auto" w:sz="4" w:space="0"/>
            </w:tcBorders>
          </w:tcPr>
          <w:p>
            <w:pPr>
              <w:rPr>
                <w:lang w:val="en-US"/>
              </w:rPr>
            </w:pPr>
            <w:r>
              <w:rPr>
                <w:lang w:val="en-US"/>
              </w:rPr>
              <w:t>1组</w:t>
            </w:r>
          </w:p>
        </w:tc>
        <w:tc>
          <w:tcPr>
            <w:tcW w:w="2933" w:type="dxa"/>
            <w:tcBorders>
              <w:top w:val="single" w:color="auto" w:sz="4" w:space="0"/>
              <w:left w:val="single" w:color="auto" w:sz="4" w:space="0"/>
              <w:bottom w:val="single" w:color="auto" w:sz="4" w:space="0"/>
              <w:right w:val="single" w:color="auto" w:sz="4" w:space="0"/>
            </w:tcBorders>
          </w:tcPr>
          <w:p>
            <w:pPr>
              <w:rPr>
                <w:lang w:val="en-US"/>
              </w:rPr>
            </w:pPr>
            <w:r>
              <w:rPr>
                <w:lang w:val="en-US"/>
              </w:rPr>
              <w:t>对照组</w:t>
            </w:r>
          </w:p>
        </w:tc>
        <w:tc>
          <w:tcPr>
            <w:tcW w:w="4840" w:type="dxa"/>
            <w:tcBorders>
              <w:top w:val="single" w:color="auto" w:sz="4" w:space="0"/>
              <w:left w:val="single" w:color="auto" w:sz="4" w:space="0"/>
              <w:bottom w:val="single" w:color="auto" w:sz="4" w:space="0"/>
              <w:right w:val="single" w:color="auto" w:sz="4" w:space="0"/>
            </w:tcBorders>
          </w:tcPr>
          <w:p>
            <w:pPr>
              <w:rPr>
                <w:lang w:val="en-US"/>
              </w:rPr>
            </w:pPr>
            <w:r>
              <w:rPr>
                <w:lang w:val="en-US"/>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3" w:hRule="atLeast"/>
        </w:trPr>
        <w:tc>
          <w:tcPr>
            <w:tcW w:w="727" w:type="dxa"/>
            <w:tcBorders>
              <w:top w:val="single" w:color="auto" w:sz="4" w:space="0"/>
              <w:left w:val="single" w:color="auto" w:sz="4" w:space="0"/>
              <w:bottom w:val="single" w:color="auto" w:sz="4" w:space="0"/>
              <w:right w:val="single" w:color="auto" w:sz="4" w:space="0"/>
            </w:tcBorders>
          </w:tcPr>
          <w:p>
            <w:pPr>
              <w:rPr>
                <w:lang w:val="en-US"/>
              </w:rPr>
            </w:pPr>
            <w:r>
              <w:rPr>
                <w:lang w:val="en-US"/>
              </w:rPr>
              <w:t>2组</w:t>
            </w:r>
          </w:p>
        </w:tc>
        <w:tc>
          <w:tcPr>
            <w:tcW w:w="2933" w:type="dxa"/>
            <w:tcBorders>
              <w:top w:val="single" w:color="auto" w:sz="4" w:space="0"/>
              <w:left w:val="single" w:color="auto" w:sz="4" w:space="0"/>
              <w:bottom w:val="single" w:color="auto" w:sz="4" w:space="0"/>
              <w:right w:val="single" w:color="auto" w:sz="4" w:space="0"/>
            </w:tcBorders>
          </w:tcPr>
          <w:p>
            <w:pPr>
              <w:rPr>
                <w:lang w:val="en-US"/>
              </w:rPr>
            </w:pPr>
            <w:r>
              <w:rPr>
                <w:lang w:val="en-US"/>
              </w:rPr>
              <w:t>单纯高</w:t>
            </w:r>
            <w:r>
              <w:rPr>
                <w:rFonts w:hint="eastAsia"/>
                <w:lang w:val="en-US" w:eastAsia="zh-CN"/>
              </w:rPr>
              <w:t>脂</w:t>
            </w:r>
            <w:r>
              <w:rPr>
                <w:lang w:val="en-US"/>
              </w:rPr>
              <w:t>饮食组</w:t>
            </w:r>
          </w:p>
        </w:tc>
        <w:tc>
          <w:tcPr>
            <w:tcW w:w="4840" w:type="dxa"/>
            <w:tcBorders>
              <w:top w:val="single" w:color="auto" w:sz="4" w:space="0"/>
              <w:left w:val="single" w:color="auto" w:sz="4" w:space="0"/>
              <w:bottom w:val="single" w:color="auto" w:sz="4" w:space="0"/>
              <w:right w:val="single" w:color="auto" w:sz="4" w:space="0"/>
            </w:tcBorders>
          </w:tcPr>
          <w:p>
            <w:pPr>
              <w:rPr>
                <w:lang w:val="en-US"/>
              </w:rPr>
            </w:pPr>
            <w:r>
              <w:rPr>
                <w:lang w:val="en-US"/>
              </w:rPr>
              <w:t>略高</w:t>
            </w:r>
            <w:r>
              <w:rPr>
                <w:rFonts w:hint="eastAsia"/>
                <w:lang w:val="en-US" w:eastAsia="zh-CN"/>
              </w:rPr>
              <w:t>但</w:t>
            </w:r>
            <w:r>
              <w:rPr>
                <w:rFonts w:hint="eastAsia"/>
                <w:lang w:val="en-US"/>
              </w:rPr>
              <w:t>不明显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0" w:hRule="atLeast"/>
        </w:trPr>
        <w:tc>
          <w:tcPr>
            <w:tcW w:w="727" w:type="dxa"/>
            <w:tcBorders>
              <w:top w:val="single" w:color="auto" w:sz="4" w:space="0"/>
              <w:left w:val="single" w:color="auto" w:sz="4" w:space="0"/>
              <w:bottom w:val="single" w:color="auto" w:sz="4" w:space="0"/>
              <w:right w:val="single" w:color="auto" w:sz="4" w:space="0"/>
            </w:tcBorders>
          </w:tcPr>
          <w:p>
            <w:pPr>
              <w:rPr>
                <w:lang w:val="en-US"/>
              </w:rPr>
            </w:pPr>
            <w:r>
              <w:rPr>
                <w:lang w:val="en-US"/>
              </w:rPr>
              <w:t>3组</w:t>
            </w:r>
          </w:p>
        </w:tc>
        <w:tc>
          <w:tcPr>
            <w:tcW w:w="2933" w:type="dxa"/>
            <w:tcBorders>
              <w:top w:val="single" w:color="auto" w:sz="4" w:space="0"/>
              <w:left w:val="single" w:color="auto" w:sz="4" w:space="0"/>
              <w:bottom w:val="single" w:color="auto" w:sz="4" w:space="0"/>
              <w:right w:val="single" w:color="auto" w:sz="4" w:space="0"/>
            </w:tcBorders>
          </w:tcPr>
          <w:p>
            <w:pPr>
              <w:rPr>
                <w:lang w:val="en-US"/>
              </w:rPr>
            </w:pPr>
            <w:r>
              <w:rPr>
                <w:lang w:val="en-US"/>
              </w:rPr>
              <w:t>单纯STZ处理组</w:t>
            </w:r>
          </w:p>
        </w:tc>
        <w:tc>
          <w:tcPr>
            <w:tcW w:w="4840" w:type="dxa"/>
            <w:tcBorders>
              <w:top w:val="single" w:color="auto" w:sz="4" w:space="0"/>
              <w:left w:val="single" w:color="auto" w:sz="4" w:space="0"/>
              <w:bottom w:val="single" w:color="auto" w:sz="4" w:space="0"/>
              <w:right w:val="single" w:color="auto" w:sz="4" w:space="0"/>
            </w:tcBorders>
          </w:tcPr>
          <w:p>
            <w:pPr>
              <w:rPr>
                <w:lang w:val="en-US"/>
              </w:rPr>
            </w:pPr>
            <w:r>
              <w:rPr>
                <w:lang w:val="en-US"/>
              </w:rPr>
              <w:t>略高</w:t>
            </w:r>
            <w:r>
              <w:rPr>
                <w:rFonts w:hint="eastAsia"/>
                <w:lang w:val="en-US" w:eastAsia="zh-CN"/>
              </w:rPr>
              <w:t>但</w:t>
            </w:r>
            <w:r>
              <w:rPr>
                <w:rFonts w:hint="eastAsia"/>
                <w:lang w:val="en-US"/>
              </w:rPr>
              <w:t>不明显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6" w:hRule="atLeast"/>
        </w:trPr>
        <w:tc>
          <w:tcPr>
            <w:tcW w:w="727" w:type="dxa"/>
            <w:tcBorders>
              <w:top w:val="single" w:color="auto" w:sz="4" w:space="0"/>
              <w:left w:val="single" w:color="auto" w:sz="4" w:space="0"/>
              <w:bottom w:val="single" w:color="auto" w:sz="4" w:space="0"/>
              <w:right w:val="single" w:color="auto" w:sz="4" w:space="0"/>
            </w:tcBorders>
          </w:tcPr>
          <w:p>
            <w:pPr>
              <w:rPr>
                <w:lang w:val="en-US"/>
              </w:rPr>
            </w:pPr>
            <w:r>
              <w:rPr>
                <w:lang w:val="en-US"/>
              </w:rPr>
              <w:t>4</w:t>
            </w:r>
            <w:r>
              <w:rPr>
                <w:rFonts w:hint="eastAsia"/>
                <w:lang w:val="en-US"/>
              </w:rPr>
              <w:t>组</w:t>
            </w:r>
          </w:p>
        </w:tc>
        <w:tc>
          <w:tcPr>
            <w:tcW w:w="2933" w:type="dxa"/>
            <w:tcBorders>
              <w:top w:val="single" w:color="auto" w:sz="4" w:space="0"/>
              <w:left w:val="single" w:color="auto" w:sz="4" w:space="0"/>
              <w:bottom w:val="single" w:color="auto" w:sz="4" w:space="0"/>
              <w:right w:val="single" w:color="auto" w:sz="4" w:space="0"/>
            </w:tcBorders>
          </w:tcPr>
          <w:p>
            <w:pPr>
              <w:rPr>
                <w:lang w:val="en-US"/>
              </w:rPr>
            </w:pPr>
            <w:r>
              <w:rPr>
                <w:lang w:val="en-US"/>
              </w:rPr>
              <w:t>高</w:t>
            </w:r>
            <w:r>
              <w:rPr>
                <w:rFonts w:hint="eastAsia"/>
                <w:lang w:val="en-US" w:eastAsia="zh-CN"/>
              </w:rPr>
              <w:t>脂</w:t>
            </w:r>
            <w:r>
              <w:rPr>
                <w:lang w:val="en-US"/>
              </w:rPr>
              <w:t>饮食联合STZ处理组</w:t>
            </w:r>
          </w:p>
        </w:tc>
        <w:tc>
          <w:tcPr>
            <w:tcW w:w="4840" w:type="dxa"/>
            <w:tcBorders>
              <w:top w:val="single" w:color="auto" w:sz="4" w:space="0"/>
              <w:left w:val="single" w:color="auto" w:sz="4" w:space="0"/>
              <w:bottom w:val="single" w:color="auto" w:sz="4" w:space="0"/>
              <w:right w:val="single" w:color="auto" w:sz="4" w:space="0"/>
            </w:tcBorders>
          </w:tcPr>
          <w:p>
            <w:pPr>
              <w:rPr>
                <w:lang w:val="en-US"/>
              </w:rPr>
            </w:pPr>
            <w:r>
              <w:rPr>
                <w:lang w:val="en-US"/>
              </w:rPr>
              <w:t>明显上升</w:t>
            </w:r>
          </w:p>
        </w:tc>
      </w:tr>
    </w:tbl>
    <w:p>
      <w:pPr>
        <w:rPr>
          <w:rFonts w:hint="default"/>
          <w:lang w:val="en-US" w:eastAsia="zh-CN"/>
        </w:rPr>
      </w:pPr>
    </w:p>
    <w:p>
      <w:pPr>
        <w:rPr>
          <w:rFonts w:hint="eastAsia"/>
          <w:lang w:val="en-US" w:eastAsia="zh-CN"/>
        </w:rPr>
      </w:pPr>
      <w:r>
        <w:rPr>
          <w:rFonts w:hint="eastAsia"/>
          <w:lang w:val="en-US" w:eastAsia="zh-CN"/>
        </w:rPr>
        <w:t>实验结论</w:t>
      </w:r>
    </w:p>
    <w:p>
      <w:pPr>
        <w:rPr>
          <w:rFonts w:hint="eastAsia"/>
          <w:lang w:val="en-US" w:eastAsia="zh-CN"/>
        </w:rPr>
      </w:pPr>
      <w:r>
        <w:rPr>
          <w:rFonts w:hint="eastAsia"/>
          <w:lang w:val="en-US" w:eastAsia="zh-CN"/>
        </w:rPr>
        <w:t>STZ（链脲佐菌素）对肝组织中iNOS基因表达起促进作用。但STZ并未直接参与到iNOS基因表达的通路中，而是通过诱发糖尿病导致肝中氧化应激的产生，从而间接导致iNOS生成。</w:t>
      </w:r>
    </w:p>
    <w:p>
      <w:pPr>
        <w:rPr>
          <w:rFonts w:hint="default"/>
          <w:lang w:val="en-US" w:eastAsia="zh-CN"/>
        </w:rPr>
      </w:pPr>
    </w:p>
    <w:p>
      <w:pPr>
        <w:rPr>
          <w:rFonts w:hint="eastAsia"/>
          <w:lang w:val="en-US" w:eastAsia="zh-CN"/>
        </w:rPr>
      </w:pPr>
      <w:r>
        <w:rPr>
          <w:rFonts w:hint="eastAsia"/>
          <w:lang w:val="en-US" w:eastAsia="zh-CN"/>
        </w:rPr>
        <w:t>参考文献：</w:t>
      </w:r>
    </w:p>
    <w:p>
      <w:r>
        <w:rPr>
          <w:lang w:val="en-US"/>
        </w:rPr>
        <w:t>[1]李瑞峰,郭成浩,陈融,李莉,孔乐凯,王建丽,胡维诚.链脲佐菌素诱导的糖尿病大鼠外周血白细胞iNOS-mRNA表达的变化[J].中国病理生理杂志,2001,(12):89-91+125.</w:t>
      </w:r>
    </w:p>
    <w:p>
      <w:r>
        <w:rPr>
          <w:lang w:val="en-US"/>
        </w:rPr>
        <w:t>[2]祁忠华,林善锬.早期糖尿病大鼠肾脏诱生型一氧化氮合酶基因表达[J].中华内分泌代谢杂志,1998,14(1):41.</w:t>
      </w:r>
    </w:p>
    <w:p>
      <w:r>
        <w:rPr>
          <w:lang w:val="en-US"/>
        </w:rPr>
        <w:t>[3]陈福琴,邵倩,李瑞峰,李莉,陈融,胡维诚.外周血白细胞两种类型一氧化氮合酶mRNA的表达与糖尿病的关系[J].中华内分泌代谢杂志,2003,(04):53-54+101.</w:t>
      </w:r>
    </w:p>
    <w:p>
      <w:pPr>
        <w:rPr>
          <w:rFonts w:hint="default"/>
          <w:lang w:val="en-US" w:eastAsia="zh-CN"/>
        </w:rPr>
      </w:pPr>
      <w:r>
        <w:rPr>
          <w:rFonts w:hint="eastAsia"/>
          <w:lang w:val="en-US" w:eastAsia="zh-CN"/>
        </w:rPr>
        <w:t>[4]</w:t>
      </w:r>
      <w:r>
        <w:rPr>
          <w:rFonts w:hint="default"/>
          <w:lang w:val="en-US" w:eastAsia="zh-CN"/>
        </w:rPr>
        <w:t>李瑞峰,郭成浩,陈融等.链脲佐菌素诱导的糖尿病大鼠外周血白细胞iNOS-mRNA表达的变化[J].中国病理生理杂志,2001(12):89-91+125.</w:t>
      </w:r>
    </w:p>
    <w:p>
      <w:pPr>
        <w:rPr>
          <w:rFonts w:hint="default"/>
          <w:lang w:val="en-US" w:eastAsia="zh-CN"/>
        </w:rPr>
      </w:pPr>
      <w:r>
        <w:rPr>
          <w:rFonts w:hint="eastAsia"/>
          <w:lang w:val="en-US" w:eastAsia="zh-CN"/>
        </w:rPr>
        <w:t>[5]</w:t>
      </w:r>
      <w:r>
        <w:rPr>
          <w:rFonts w:hint="default"/>
          <w:lang w:val="en-US" w:eastAsia="zh-CN"/>
        </w:rPr>
        <w:t>赵君,谭小月,张勉之.五味子合剂对糖尿病肾病小鼠肾组织MCP-1及iNOS表达的影响[J].天津医药,2012,40(06):594-597+645.</w:t>
      </w:r>
    </w:p>
    <w:p>
      <w:pPr>
        <w:rPr>
          <w:rFonts w:hint="default"/>
          <w:lang w:val="en-US" w:eastAsia="zh-CN"/>
        </w:rPr>
      </w:pPr>
      <w:r>
        <w:rPr>
          <w:rFonts w:hint="eastAsia"/>
          <w:lang w:val="en-US" w:eastAsia="zh-CN"/>
        </w:rPr>
        <w:t>[6]</w:t>
      </w:r>
      <w:r>
        <w:rPr>
          <w:rFonts w:hint="default"/>
          <w:lang w:val="en-US" w:eastAsia="zh-CN"/>
        </w:rPr>
        <w:t>赵永吉,陆莹,游志鹏.藏红花酸对链脲佐菌素诱导的糖尿病大鼠视网膜神经上皮的保护作用[J].中国药理学通报,2020,36(03):399-403.</w:t>
      </w:r>
    </w:p>
    <w:p>
      <w:pPr>
        <w:rPr>
          <w:rFonts w:hint="default"/>
          <w:lang w:val="en-US" w:eastAsia="zh-CN"/>
        </w:rPr>
      </w:pPr>
      <w:r>
        <w:rPr>
          <w:rFonts w:hint="eastAsia"/>
          <w:lang w:val="en-US" w:eastAsia="zh-CN"/>
        </w:rPr>
        <w:t>[7]</w:t>
      </w:r>
      <w:r>
        <w:rPr>
          <w:rFonts w:hint="default"/>
          <w:lang w:val="en-US" w:eastAsia="zh-CN"/>
        </w:rPr>
        <w:t>周群,高思琦,张霖璋等.黄芪总苷通过调控SIRT1表达对胆汁淤积性肝纤维化小鼠的影响[J].中成药,2023,45(11):3568-3576.</w:t>
      </w:r>
    </w:p>
    <w:p>
      <w:pPr>
        <w:rPr>
          <w:rFonts w:hint="default"/>
          <w:lang w:val="en-US" w:eastAsia="zh-CN"/>
        </w:rPr>
      </w:pPr>
      <w:r>
        <w:rPr>
          <w:rFonts w:hint="eastAsia"/>
          <w:lang w:val="en-US" w:eastAsia="zh-CN"/>
        </w:rPr>
        <w:t>[8]</w:t>
      </w:r>
      <w:r>
        <w:rPr>
          <w:rFonts w:hint="default"/>
          <w:lang w:val="en-US" w:eastAsia="zh-CN"/>
        </w:rPr>
        <w:t>李文通,王家耀,刘兆华,郭成浩,李瑞峰.阿司匹林对STZ糖尿病大鼠外周血白细胞iNOSmRNA和胰岛细胞iNOS表达的影响[J].山东大学学报(医学版),2005(10):57-59+88.</w:t>
      </w:r>
    </w:p>
    <w:p>
      <w:pPr>
        <w:rPr>
          <w:rFonts w:hint="default"/>
          <w:lang w:val="en-US" w:eastAsia="zh-CN"/>
        </w:rPr>
      </w:pPr>
      <w:r>
        <w:rPr>
          <w:rFonts w:hint="eastAsia"/>
          <w:lang w:val="en-US" w:eastAsia="zh-CN"/>
        </w:rPr>
        <w:t>[9]</w:t>
      </w:r>
      <w:r>
        <w:rPr>
          <w:rFonts w:hint="default"/>
          <w:lang w:val="en-US" w:eastAsia="zh-CN"/>
        </w:rPr>
        <w:t>何姜,陈闽,刘小莺,王燕萍,刘礼斌.氧化应激对内皮细胞NF-κB、iNOS和NO信号表达的影响[J].福建医科大学学报,2010,44(03):186-189.</w:t>
      </w: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TUxNDE2YzNlZmVlNDg0NTNlZGY1ODkyZGYwNTFjMmUifQ=="/>
  </w:docVars>
  <w:rsids>
    <w:rsidRoot w:val="6E8F6DF4"/>
    <w:rsid w:val="0F7558F5"/>
    <w:rsid w:val="228A5F45"/>
    <w:rsid w:val="33DC2C05"/>
    <w:rsid w:val="6E8F6DF4"/>
    <w:rsid w:val="702B4594"/>
    <w:rsid w:val="747D18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 w:type="table" w:customStyle="1" w:styleId="4">
    <w:name w:val="网格型1"/>
    <w:basedOn w:val="2"/>
    <w:qFormat/>
    <w:uiPriority w:val="39"/>
    <w:rPr>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5">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TotalTime>
  <ScaleCrop>false</ScaleCrop>
  <LinksUpToDate>false</LinksUpToDate>
  <CharactersWithSpaces>0</CharactersWithSpaces>
  <Application>WPS Office_12.1.0.15933_F1E327BC-269C-435d-A152-05C5408002CA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2023-11-15T12:14:00Z</dcterms:created>
  <dc:creator>孤光</dc:creator>
  <cp:lastModifiedBy>洛璇</cp:lastModifiedBy>
  <dcterms:modified xsi:type="dcterms:W3CDTF">2023-11-20T10:27:09Z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2052-12.1.0.15933</vt:lpwstr>
  </property>
  <property fmtid="{D5CDD505-2E9C-101B-9397-08002B2CF9AE}" pid="3" name="ICV">
    <vt:lpwstr>4C306BA1A57F4D928DED443D797B6351_13</vt:lpwstr>
  </property>
</Properties>
</file>