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28"/>
          <w:szCs w:val="28"/>
        </w:rPr>
        <w:t xml:space="preserve">JioBharatIQ</w:t>
      </w:r>
    </w:p>
    <w:p>
      <w:pPr>
        <w:spacing w:after="200"/>
      </w:pPr>
      <w:r>
        <w:rPr>
          <w:rFonts w:ascii="Arial" w:cs="Arial" w:eastAsia="Arial" w:hAnsi="Arial"/>
          <w:b/>
          <w:bCs/>
          <w:sz w:val="40"/>
          <w:szCs w:val="40"/>
        </w:rPr>
        <w:t xml:space="preserve">Multi-Partner Conflict Resolution Model</w:t>
      </w:r>
    </w:p>
    <w:p>
      <w:pPr>
        <w:spacing w:after="320"/>
      </w:pPr>
      <w:r>
        <w:rPr>
          <w:rFonts w:ascii="Arial" w:cs="Arial" w:eastAsia="Arial" w:hAnsi="Arial"/>
          <w:i/>
          <w:iCs/>
          <w:sz w:val="22"/>
          <w:szCs w:val="22"/>
        </w:rPr>
        <w:t xml:space="preserve">How multiple eligible partners are reconciled into a single user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Field</w:t>
            </w:r>
          </w:p>
        </w:tc>
        <w:tc>
          <w:tcPr>
            <w:tcW w:type="dxa" w:w="69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Value</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Version</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V0.1</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Status</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Work In Progress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Applies to</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Product, Design, Engineering, AI Systems, Data, QA, Partner Engineering, Compliance</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Owner</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Matt Jarvis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Last Updated</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February 2026</w:t>
            </w:r>
          </w:p>
        </w:tc>
      </w:tr>
    </w:tbl>
    <w:p>
      <w:r>
        <w:br w:type="page"/>
      </w:r>
    </w:p>
    <w:p>
      <w:pPr>
        <w:pStyle w:val="Heading1"/>
        <w:spacing w:after="200" w:before="360"/>
      </w:pPr>
      <w:r>
        <w:rPr>
          <w:rFonts w:ascii="Arial" w:cs="Arial" w:eastAsia="Arial" w:hAnsi="Arial"/>
          <w:b/>
          <w:bCs/>
          <w:sz w:val="32"/>
          <w:szCs w:val="32"/>
        </w:rPr>
        <w:t xml:space="preserve">0. Purpose &amp; Authority</w:t>
      </w:r>
    </w:p>
    <w:p>
      <w:pPr>
        <w:spacing w:after="120"/>
      </w:pPr>
      <w:r>
        <w:rPr>
          <w:rFonts w:ascii="Arial" w:cs="Arial" w:eastAsia="Arial" w:hAnsi="Arial"/>
          <w:sz w:val="22"/>
          <w:szCs w:val="22"/>
        </w:rPr>
        <w:t xml:space="preserve">This document defines how JBIQ reconciles multiple eligible partners for the same canonical intent into a single coherent user experience. It is the fairness, predictability, and learning contract for the partner ecosystem.</w:t>
      </w:r>
    </w:p>
    <w:p>
      <w:pPr>
        <w:spacing w:after="120"/>
      </w:pPr>
      <w:r>
        <w:rPr>
          <w:rFonts w:ascii="Arial" w:cs="Arial" w:eastAsia="Arial" w:hAnsi="Arial"/>
          <w:sz w:val="22"/>
          <w:szCs w:val="22"/>
        </w:rPr>
        <w:t xml:space="preserve">It exists to:</w:t>
      </w:r>
    </w:p>
    <w:p>
      <w:pPr>
        <w:pStyle w:val="ListParagraph"/>
        <w:numPr>
          <w:ilvl w:val="0"/>
          <w:numId w:val="2"/>
        </w:numPr>
        <w:spacing w:after="80"/>
      </w:pPr>
      <w:r>
        <w:rPr>
          <w:rFonts w:ascii="Arial" w:cs="Arial" w:eastAsia="Arial" w:hAnsi="Arial"/>
          <w:sz w:val="22"/>
          <w:szCs w:val="22"/>
        </w:rPr>
        <w:t xml:space="preserve">Define how candidate partners are filtered, ranked, and presented</w:t>
      </w:r>
    </w:p>
    <w:p>
      <w:pPr>
        <w:pStyle w:val="ListParagraph"/>
        <w:numPr>
          <w:ilvl w:val="0"/>
          <w:numId w:val="2"/>
        </w:numPr>
        <w:spacing w:after="80"/>
      </w:pPr>
      <w:r>
        <w:rPr>
          <w:rFonts w:ascii="Arial" w:cs="Arial" w:eastAsia="Arial" w:hAnsi="Arial"/>
          <w:sz w:val="22"/>
          <w:szCs w:val="22"/>
        </w:rPr>
        <w:t xml:space="preserve">Prevent silent partner monopolisation of any canonical intent</w:t>
      </w:r>
    </w:p>
    <w:p>
      <w:pPr>
        <w:pStyle w:val="ListParagraph"/>
        <w:numPr>
          <w:ilvl w:val="0"/>
          <w:numId w:val="2"/>
        </w:numPr>
        <w:spacing w:after="80"/>
      </w:pPr>
      <w:r>
        <w:rPr>
          <w:rFonts w:ascii="Arial" w:cs="Arial" w:eastAsia="Arial" w:hAnsi="Arial"/>
          <w:sz w:val="22"/>
          <w:szCs w:val="22"/>
        </w:rPr>
        <w:t xml:space="preserve">Make ranking decisions inspectable, correctable, and reversible by the user</w:t>
      </w:r>
    </w:p>
    <w:p>
      <w:pPr>
        <w:pStyle w:val="ListParagraph"/>
        <w:numPr>
          <w:ilvl w:val="0"/>
          <w:numId w:val="2"/>
        </w:numPr>
        <w:spacing w:after="80"/>
      </w:pPr>
      <w:r>
        <w:rPr>
          <w:rFonts w:ascii="Arial" w:cs="Arial" w:eastAsia="Arial" w:hAnsi="Arial"/>
          <w:sz w:val="22"/>
          <w:szCs w:val="22"/>
        </w:rPr>
        <w:t xml:space="preserve">Govern how partner preference is learned and how that learning is bounded by transparency</w:t>
      </w:r>
    </w:p>
    <w:p>
      <w:pPr>
        <w:pStyle w:val="ListParagraph"/>
        <w:numPr>
          <w:ilvl w:val="0"/>
          <w:numId w:val="2"/>
        </w:numPr>
        <w:spacing w:after="80"/>
      </w:pPr>
      <w:r>
        <w:rPr>
          <w:rFonts w:ascii="Arial" w:cs="Arial" w:eastAsia="Arial" w:hAnsi="Arial"/>
          <w:sz w:val="22"/>
          <w:szCs w:val="22"/>
        </w:rPr>
        <w:t xml:space="preserve">Maintain ecosystem health through equity rules that survive autonomy reinforcement loops</w:t>
      </w:r>
    </w:p>
    <w:p>
      <w:pPr>
        <w:spacing w:after="120"/>
      </w:pPr>
      <w:r>
        <w:rPr>
          <w:rFonts w:ascii="Arial" w:cs="Arial" w:eastAsia="Arial" w:hAnsi="Arial"/>
          <w:sz w:val="22"/>
          <w:szCs w:val="22"/>
        </w:rPr>
        <w:t xml:space="preserve">This document is normative, not aspirational. Any partner-fulfilled experience that violates this model must be flagged, justified, and corrected or rejected.</w:t>
      </w:r>
    </w:p>
    <w:p>
      <w:pPr>
        <w:pStyle w:val="Heading1"/>
        <w:spacing w:after="200" w:before="360"/>
      </w:pPr>
      <w:r>
        <w:rPr>
          <w:rFonts w:ascii="Arial" w:cs="Arial" w:eastAsia="Arial" w:hAnsi="Arial"/>
          <w:b/>
          <w:bCs/>
          <w:sz w:val="32"/>
          <w:szCs w:val="32"/>
        </w:rPr>
        <w:t xml:space="preserve">1. Scope &amp; Non-Goals</w:t>
      </w:r>
    </w:p>
    <w:p>
      <w:pPr>
        <w:pStyle w:val="Heading3"/>
        <w:spacing w:after="120" w:before="220"/>
      </w:pPr>
      <w:r>
        <w:rPr>
          <w:rFonts w:ascii="Arial" w:cs="Arial" w:eastAsia="Arial" w:hAnsi="Arial"/>
          <w:b/>
          <w:bCs/>
          <w:sz w:val="23"/>
          <w:szCs w:val="23"/>
        </w:rPr>
        <w:t xml:space="preserve">In scope</w:t>
      </w:r>
    </w:p>
    <w:p>
      <w:pPr>
        <w:pStyle w:val="ListParagraph"/>
        <w:numPr>
          <w:ilvl w:val="0"/>
          <w:numId w:val="2"/>
        </w:numPr>
        <w:spacing w:after="80"/>
      </w:pPr>
      <w:r>
        <w:rPr>
          <w:rFonts w:ascii="Arial" w:cs="Arial" w:eastAsia="Arial" w:hAnsi="Arial"/>
          <w:sz w:val="22"/>
          <w:szCs w:val="22"/>
        </w:rPr>
        <w:t xml:space="preserve">Candidate set construction from the partner manifest registry</w:t>
      </w:r>
    </w:p>
    <w:p>
      <w:pPr>
        <w:pStyle w:val="ListParagraph"/>
        <w:numPr>
          <w:ilvl w:val="0"/>
          <w:numId w:val="2"/>
        </w:numPr>
        <w:spacing w:after="80"/>
      </w:pPr>
      <w:r>
        <w:rPr>
          <w:rFonts w:ascii="Arial" w:cs="Arial" w:eastAsia="Arial" w:hAnsi="Arial"/>
          <w:sz w:val="22"/>
          <w:szCs w:val="22"/>
        </w:rPr>
        <w:t xml:space="preserve">Hard filtering and gating rules</w:t>
      </w:r>
    </w:p>
    <w:p>
      <w:pPr>
        <w:pStyle w:val="ListParagraph"/>
        <w:numPr>
          <w:ilvl w:val="0"/>
          <w:numId w:val="2"/>
        </w:numPr>
        <w:spacing w:after="80"/>
      </w:pPr>
      <w:r>
        <w:rPr>
          <w:rFonts w:ascii="Arial" w:cs="Arial" w:eastAsia="Arial" w:hAnsi="Arial"/>
          <w:sz w:val="22"/>
          <w:szCs w:val="22"/>
        </w:rPr>
        <w:t xml:space="preserve">Resolution strategies and their primitive compatibility</w:t>
      </w:r>
    </w:p>
    <w:p>
      <w:pPr>
        <w:pStyle w:val="ListParagraph"/>
        <w:numPr>
          <w:ilvl w:val="0"/>
          <w:numId w:val="2"/>
        </w:numPr>
        <w:spacing w:after="80"/>
      </w:pPr>
      <w:r>
        <w:rPr>
          <w:rFonts w:ascii="Arial" w:cs="Arial" w:eastAsia="Arial" w:hAnsi="Arial"/>
          <w:sz w:val="22"/>
          <w:szCs w:val="22"/>
        </w:rPr>
        <w:t xml:space="preserve">Ranking signal hierarchy and decay rules</w:t>
      </w:r>
    </w:p>
    <w:p>
      <w:pPr>
        <w:pStyle w:val="ListParagraph"/>
        <w:numPr>
          <w:ilvl w:val="0"/>
          <w:numId w:val="2"/>
        </w:numPr>
        <w:spacing w:after="80"/>
      </w:pPr>
      <w:r>
        <w:rPr>
          <w:rFonts w:ascii="Arial" w:cs="Arial" w:eastAsia="Arial" w:hAnsi="Arial"/>
          <w:sz w:val="22"/>
          <w:szCs w:val="22"/>
        </w:rPr>
        <w:t xml:space="preserve">Partner equity rules: cold-start, monopoly cap, demotion decay, suppression visibility</w:t>
      </w:r>
    </w:p>
    <w:p>
      <w:pPr>
        <w:pStyle w:val="ListParagraph"/>
        <w:numPr>
          <w:ilvl w:val="0"/>
          <w:numId w:val="2"/>
        </w:numPr>
        <w:spacing w:after="80"/>
      </w:pPr>
      <w:r>
        <w:rPr>
          <w:rFonts w:ascii="Arial" w:cs="Arial" w:eastAsia="Arial" w:hAnsi="Arial"/>
          <w:sz w:val="22"/>
          <w:szCs w:val="22"/>
        </w:rPr>
        <w:t xml:space="preserve">Transparency requirements: attribution, explanation, partner preferences</w:t>
      </w:r>
    </w:p>
    <w:p>
      <w:pPr>
        <w:pStyle w:val="ListParagraph"/>
        <w:numPr>
          <w:ilvl w:val="0"/>
          <w:numId w:val="2"/>
        </w:numPr>
        <w:spacing w:after="80"/>
      </w:pPr>
      <w:r>
        <w:rPr>
          <w:rFonts w:ascii="Arial" w:cs="Arial" w:eastAsia="Arial" w:hAnsi="Arial"/>
          <w:sz w:val="22"/>
          <w:szCs w:val="22"/>
        </w:rPr>
        <w:t xml:space="preserve">Outcome capture and learning</w:t>
      </w:r>
    </w:p>
    <w:p>
      <w:pPr>
        <w:pStyle w:val="Heading3"/>
        <w:spacing w:after="120" w:before="220"/>
      </w:pPr>
      <w:r>
        <w:rPr>
          <w:rFonts w:ascii="Arial" w:cs="Arial" w:eastAsia="Arial" w:hAnsi="Arial"/>
          <w:b/>
          <w:bCs/>
          <w:sz w:val="23"/>
          <w:szCs w:val="23"/>
        </w:rPr>
        <w:t xml:space="preserve">Out of scope</w:t>
      </w:r>
    </w:p>
    <w:p>
      <w:pPr>
        <w:pStyle w:val="ListParagraph"/>
        <w:numPr>
          <w:ilvl w:val="0"/>
          <w:numId w:val="2"/>
        </w:numPr>
        <w:spacing w:after="80"/>
      </w:pPr>
      <w:r>
        <w:rPr>
          <w:rFonts w:ascii="Arial" w:cs="Arial" w:eastAsia="Arial" w:hAnsi="Arial"/>
          <w:sz w:val="22"/>
          <w:szCs w:val="22"/>
        </w:rPr>
        <w:t xml:space="preserve">The manifest schema (governed by the Partner Capability Manifest)</w:t>
      </w:r>
    </w:p>
    <w:p>
      <w:pPr>
        <w:pStyle w:val="ListParagraph"/>
        <w:numPr>
          <w:ilvl w:val="0"/>
          <w:numId w:val="2"/>
        </w:numPr>
        <w:spacing w:after="80"/>
      </w:pPr>
      <w:r>
        <w:rPr>
          <w:rFonts w:ascii="Arial" w:cs="Arial" w:eastAsia="Arial" w:hAnsi="Arial"/>
          <w:sz w:val="22"/>
          <w:szCs w:val="22"/>
        </w:rPr>
        <w:t xml:space="preserve">Commercial agreements, partner pricing, revenue share, and contractual SLAs</w:t>
      </w:r>
    </w:p>
    <w:p>
      <w:pPr>
        <w:pStyle w:val="ListParagraph"/>
        <w:numPr>
          <w:ilvl w:val="0"/>
          <w:numId w:val="2"/>
        </w:numPr>
        <w:spacing w:after="80"/>
      </w:pPr>
      <w:r>
        <w:rPr>
          <w:rFonts w:ascii="Arial" w:cs="Arial" w:eastAsia="Arial" w:hAnsi="Arial"/>
          <w:sz w:val="22"/>
          <w:szCs w:val="22"/>
        </w:rPr>
        <w:t xml:space="preserve">User-side partner subscription management UX</w:t>
      </w:r>
    </w:p>
    <w:p>
      <w:pPr>
        <w:pStyle w:val="ListParagraph"/>
        <w:numPr>
          <w:ilvl w:val="0"/>
          <w:numId w:val="2"/>
        </w:numPr>
        <w:spacing w:after="80"/>
      </w:pPr>
      <w:r>
        <w:rPr>
          <w:rFonts w:ascii="Arial" w:cs="Arial" w:eastAsia="Arial" w:hAnsi="Arial"/>
          <w:sz w:val="22"/>
          <w:szCs w:val="22"/>
        </w:rPr>
        <w:t xml:space="preserve">Domain-specific business rules for individual partners</w:t>
      </w:r>
    </w:p>
    <w:p>
      <w:pPr>
        <w:pStyle w:val="Heading1"/>
        <w:spacing w:after="200" w:before="360"/>
      </w:pPr>
      <w:r>
        <w:rPr>
          <w:rFonts w:ascii="Arial" w:cs="Arial" w:eastAsia="Arial" w:hAnsi="Arial"/>
          <w:b/>
          <w:bCs/>
          <w:sz w:val="32"/>
          <w:szCs w:val="32"/>
        </w:rPr>
        <w:t xml:space="preserve">2. Core Philosophy</w:t>
      </w:r>
    </w:p>
    <w:p>
      <w:pPr>
        <w:spacing w:after="160" w:before="80"/>
      </w:pPr>
      <w:r>
        <w:rPr>
          <w:rFonts w:ascii="Arial" w:cs="Arial" w:eastAsia="Arial" w:hAnsi="Arial"/>
          <w:i/>
          <w:iCs/>
          <w:sz w:val="22"/>
          <w:szCs w:val="22"/>
        </w:rPr>
        <w:t xml:space="preserve">The user expresses an intent. JBIQ chooses how to fulfil it. Partners are candidate fulfillers, not exclusive owners.</w:t>
      </w:r>
    </w:p>
    <w:p>
      <w:pPr>
        <w:spacing w:after="160" w:before="80"/>
      </w:pPr>
      <w:r>
        <w:rPr>
          <w:rFonts w:ascii="Arial" w:cs="Arial" w:eastAsia="Arial" w:hAnsi="Arial"/>
          <w:i/>
          <w:iCs/>
          <w:sz w:val="22"/>
          <w:szCs w:val="22"/>
        </w:rPr>
        <w:t xml:space="preserve">Learning is bounded by transparency.</w:t>
      </w:r>
    </w:p>
    <w:p>
      <w:pPr>
        <w:spacing w:after="160" w:before="80"/>
      </w:pPr>
      <w:r>
        <w:rPr>
          <w:rFonts w:ascii="Arial" w:cs="Arial" w:eastAsia="Arial" w:hAnsi="Arial"/>
          <w:i/>
          <w:iCs/>
          <w:sz w:val="22"/>
          <w:szCs w:val="22"/>
        </w:rPr>
        <w:t xml:space="preserve">A single partner may not become invisible default infrastructure without the user knowing.</w:t>
      </w:r>
    </w:p>
    <w:p>
      <w:pPr>
        <w:spacing w:after="120"/>
      </w:pPr>
      <w:r>
        <w:rPr>
          <w:rFonts w:ascii="Arial" w:cs="Arial" w:eastAsia="Arial" w:hAnsi="Arial"/>
          <w:sz w:val="22"/>
          <w:szCs w:val="22"/>
        </w:rPr>
        <w:t xml:space="preserve">There is a fundamental tension in any multi-partner platform between convenience and agency. Convenience pushes the system toward silent defaults that minimise choice fatigue. Agency pushes toward visible choice that preserves the user’s ability to direct outcomes. This document defines where each wins.</w:t>
      </w:r>
    </w:p>
    <w:p>
      <w:pPr>
        <w:spacing w:after="120"/>
      </w:pPr>
      <w:r>
        <w:rPr>
          <w:rFonts w:ascii="Arial" w:cs="Arial" w:eastAsia="Arial" w:hAnsi="Arial"/>
          <w:sz w:val="22"/>
          <w:szCs w:val="22"/>
        </w:rPr>
        <w:t xml:space="preserve">Partner ecosystems collapse when one partner becomes invisible default infrastructure. The user stops noticing. Alternative partners stop receiving traffic. Discoverability decays. This is a long-term equity issue, not just a short-term UX issue. Equity rules in this document exist to break that loop.</w:t>
      </w:r>
    </w:p>
    <w:p>
      <w:pPr>
        <w:spacing w:after="120"/>
      </w:pPr>
      <w:r>
        <w:rPr>
          <w:rFonts w:ascii="Arial" w:cs="Arial" w:eastAsia="Arial" w:hAnsi="Arial"/>
          <w:sz w:val="22"/>
          <w:szCs w:val="22"/>
        </w:rPr>
        <w:t xml:space="preserve">Learning is essential for autonomy progression and friction reduction. But learned partner preference must remain inspectable, correctable, and reversible. A user who cannot find out why a particular partner was chosen, or who cannot easily change that choice, has lost agency without knowing it.</w:t>
      </w:r>
    </w:p>
    <w:p>
      <w:pPr>
        <w:pStyle w:val="Heading1"/>
        <w:spacing w:after="200" w:before="360"/>
      </w:pPr>
      <w:r>
        <w:rPr>
          <w:rFonts w:ascii="Arial" w:cs="Arial" w:eastAsia="Arial" w:hAnsi="Arial"/>
          <w:b/>
          <w:bCs/>
          <w:sz w:val="32"/>
          <w:szCs w:val="32"/>
        </w:rPr>
        <w:t xml:space="preserve">3. Resolution Invariants</w:t>
      </w:r>
    </w:p>
    <w:p>
      <w:pPr>
        <w:spacing w:after="120"/>
      </w:pPr>
      <w:r>
        <w:rPr>
          <w:rFonts w:ascii="Arial" w:cs="Arial" w:eastAsia="Arial" w:hAnsi="Arial"/>
          <w:sz w:val="22"/>
          <w:szCs w:val="22"/>
        </w:rPr>
        <w:t xml:space="preserve">These invariants are non-negotiable. Any violation is a structural failure.</w:t>
      </w:r>
    </w:p>
    <w:p>
      <w:pPr>
        <w:pStyle w:val="ListParagraph"/>
        <w:numPr>
          <w:ilvl w:val="0"/>
          <w:numId w:val="3"/>
        </w:numPr>
        <w:spacing w:after="80"/>
      </w:pPr>
      <w:r>
        <w:rPr>
          <w:rFonts w:ascii="Arial" w:cs="Arial" w:eastAsia="Arial" w:hAnsi="Arial"/>
          <w:sz w:val="22"/>
          <w:szCs w:val="22"/>
        </w:rPr>
        <w:t xml:space="preserve">The user must always be able to discover who fulfilled their intent.</w:t>
      </w:r>
    </w:p>
    <w:p>
      <w:pPr>
        <w:pStyle w:val="ListParagraph"/>
        <w:numPr>
          <w:ilvl w:val="0"/>
          <w:numId w:val="3"/>
        </w:numPr>
        <w:spacing w:after="80"/>
      </w:pPr>
      <w:r>
        <w:rPr>
          <w:rFonts w:ascii="Arial" w:cs="Arial" w:eastAsia="Arial" w:hAnsi="Arial"/>
          <w:sz w:val="22"/>
          <w:szCs w:val="22"/>
        </w:rPr>
        <w:t xml:space="preserve">The user must always be able to switch the fulfilling partner for a future intent.</w:t>
      </w:r>
    </w:p>
    <w:p>
      <w:pPr>
        <w:pStyle w:val="ListParagraph"/>
        <w:numPr>
          <w:ilvl w:val="0"/>
          <w:numId w:val="3"/>
        </w:numPr>
        <w:spacing w:after="80"/>
      </w:pPr>
      <w:r>
        <w:rPr>
          <w:rFonts w:ascii="Arial" w:cs="Arial" w:eastAsia="Arial" w:hAnsi="Arial"/>
          <w:sz w:val="22"/>
          <w:szCs w:val="22"/>
        </w:rPr>
        <w:t xml:space="preserve">Default partner selection must be explainable in plain language.</w:t>
      </w:r>
    </w:p>
    <w:p>
      <w:pPr>
        <w:pStyle w:val="ListParagraph"/>
        <w:numPr>
          <w:ilvl w:val="0"/>
          <w:numId w:val="3"/>
        </w:numPr>
        <w:spacing w:after="80"/>
      </w:pPr>
      <w:r>
        <w:rPr>
          <w:rFonts w:ascii="Arial" w:cs="Arial" w:eastAsia="Arial" w:hAnsi="Arial"/>
          <w:sz w:val="22"/>
          <w:szCs w:val="22"/>
        </w:rPr>
        <w:t xml:space="preserve">Partner ranking may not be commercially manipulated without disclosure.</w:t>
      </w:r>
    </w:p>
    <w:p>
      <w:pPr>
        <w:pStyle w:val="ListParagraph"/>
        <w:numPr>
          <w:ilvl w:val="0"/>
          <w:numId w:val="3"/>
        </w:numPr>
        <w:spacing w:after="80"/>
      </w:pPr>
      <w:r>
        <w:rPr>
          <w:rFonts w:ascii="Arial" w:cs="Arial" w:eastAsia="Arial" w:hAnsi="Arial"/>
          <w:sz w:val="22"/>
          <w:szCs w:val="22"/>
        </w:rPr>
        <w:t xml:space="preserve">Cross-partner data exchange via JBIQ is prohibited unless explicitly user-mediated.</w:t>
      </w:r>
    </w:p>
    <w:p>
      <w:pPr>
        <w:pStyle w:val="ListParagraph"/>
        <w:numPr>
          <w:ilvl w:val="0"/>
          <w:numId w:val="3"/>
        </w:numPr>
        <w:spacing w:after="80"/>
      </w:pPr>
      <w:r>
        <w:rPr>
          <w:rFonts w:ascii="Arial" w:cs="Arial" w:eastAsia="Arial" w:hAnsi="Arial"/>
          <w:sz w:val="22"/>
          <w:szCs w:val="22"/>
        </w:rPr>
        <w:t xml:space="preserve">A single partner cannot exceed the monopoly cap in a domain without explicit user opt-in.</w:t>
      </w:r>
    </w:p>
    <w:p>
      <w:pPr>
        <w:pStyle w:val="ListParagraph"/>
        <w:numPr>
          <w:ilvl w:val="0"/>
          <w:numId w:val="3"/>
        </w:numPr>
        <w:spacing w:after="80"/>
      </w:pPr>
      <w:r>
        <w:rPr>
          <w:rFonts w:ascii="Arial" w:cs="Arial" w:eastAsia="Arial" w:hAnsi="Arial"/>
          <w:sz w:val="22"/>
          <w:szCs w:val="22"/>
        </w:rPr>
        <w:t xml:space="preserve">Suppressed partners must be visible to the user on demand.</w:t>
      </w:r>
    </w:p>
    <w:p>
      <w:pPr>
        <w:pStyle w:val="ListParagraph"/>
        <w:numPr>
          <w:ilvl w:val="0"/>
          <w:numId w:val="3"/>
        </w:numPr>
        <w:spacing w:after="80"/>
      </w:pPr>
      <w:r>
        <w:rPr>
          <w:rFonts w:ascii="Arial" w:cs="Arial" w:eastAsia="Arial" w:hAnsi="Arial"/>
          <w:sz w:val="22"/>
          <w:szCs w:val="22"/>
        </w:rPr>
        <w:t xml:space="preserve">Demotion signals are time-decayed; partners are not banished forever for a single failure.</w:t>
      </w:r>
    </w:p>
    <w:p>
      <w:pPr>
        <w:pStyle w:val="ListParagraph"/>
        <w:numPr>
          <w:ilvl w:val="0"/>
          <w:numId w:val="3"/>
        </w:numPr>
        <w:spacing w:after="80"/>
      </w:pPr>
      <w:r>
        <w:rPr>
          <w:rFonts w:ascii="Arial" w:cs="Arial" w:eastAsia="Arial" w:hAnsi="Arial"/>
          <w:sz w:val="22"/>
          <w:szCs w:val="22"/>
        </w:rPr>
        <w:t xml:space="preserve">New partners receive a cold-start exposure budget.</w:t>
      </w:r>
    </w:p>
    <w:p>
      <w:pPr>
        <w:pStyle w:val="ListParagraph"/>
        <w:numPr>
          <w:ilvl w:val="0"/>
          <w:numId w:val="3"/>
        </w:numPr>
        <w:spacing w:after="80"/>
      </w:pPr>
      <w:r>
        <w:rPr>
          <w:rFonts w:ascii="Arial" w:cs="Arial" w:eastAsia="Arial" w:hAnsi="Arial"/>
          <w:sz w:val="22"/>
          <w:szCs w:val="22"/>
        </w:rPr>
        <w:t xml:space="preserve">Resolution outcomes must be deterministic given the same inputs and signal state.</w:t>
      </w:r>
    </w:p>
    <w:p>
      <w:pPr>
        <w:pStyle w:val="Heading1"/>
        <w:spacing w:after="200" w:before="360"/>
      </w:pPr>
      <w:r>
        <w:rPr>
          <w:rFonts w:ascii="Arial" w:cs="Arial" w:eastAsia="Arial" w:hAnsi="Arial"/>
          <w:b/>
          <w:bCs/>
          <w:sz w:val="32"/>
          <w:szCs w:val="32"/>
        </w:rPr>
        <w:t xml:space="preserve">4. Canonical Resolution Flow</w:t>
      </w:r>
    </w:p>
    <w:p>
      <w:pPr>
        <w:spacing w:after="120"/>
      </w:pPr>
      <w:r>
        <w:rPr>
          <w:rFonts w:ascii="Arial" w:cs="Arial" w:eastAsia="Arial" w:hAnsi="Arial"/>
          <w:sz w:val="22"/>
          <w:szCs w:val="22"/>
        </w:rPr>
        <w:t xml:space="preserve">Every partner-fulfilled intent follows the seven-step flow below. Steps are sequential. No step may be skipped.</w:t>
      </w:r>
    </w:p>
    <w:p>
      <w:pPr>
        <w:pStyle w:val="ListParagraph"/>
        <w:numPr>
          <w:ilvl w:val="0"/>
          <w:numId w:val="3"/>
        </w:numPr>
        <w:spacing w:after="80"/>
      </w:pPr>
      <w:r>
        <w:rPr>
          <w:rFonts w:ascii="Arial" w:cs="Arial" w:eastAsia="Arial" w:hAnsi="Arial"/>
          <w:sz w:val="22"/>
          <w:szCs w:val="22"/>
        </w:rPr>
        <w:t xml:space="preserve">Intent canonicalisation. The Conversation Director resolves user input to a canonical intent.</w:t>
      </w:r>
    </w:p>
    <w:p>
      <w:pPr>
        <w:pStyle w:val="ListParagraph"/>
        <w:numPr>
          <w:ilvl w:val="0"/>
          <w:numId w:val="3"/>
        </w:numPr>
        <w:spacing w:after="80"/>
      </w:pPr>
      <w:r>
        <w:rPr>
          <w:rFonts w:ascii="Arial" w:cs="Arial" w:eastAsia="Arial" w:hAnsi="Arial"/>
          <w:sz w:val="22"/>
          <w:szCs w:val="22"/>
        </w:rPr>
        <w:t xml:space="preserve">Candidate set construction. The registry returns all manifests matching: canonical_intent, locale, surface, and risk gates.</w:t>
      </w:r>
    </w:p>
    <w:p>
      <w:pPr>
        <w:pStyle w:val="ListParagraph"/>
        <w:numPr>
          <w:ilvl w:val="0"/>
          <w:numId w:val="3"/>
        </w:numPr>
        <w:spacing w:after="80"/>
      </w:pPr>
      <w:r>
        <w:rPr>
          <w:rFonts w:ascii="Arial" w:cs="Arial" w:eastAsia="Arial" w:hAnsi="Arial"/>
          <w:sz w:val="22"/>
          <w:szCs w:val="22"/>
        </w:rPr>
        <w:t xml:space="preserve">Hard filtering. Eliminate candidates failing on signal availability, autonomy gating, SLA health, compliance status, or monopoly cap.</w:t>
      </w:r>
    </w:p>
    <w:p>
      <w:pPr>
        <w:pStyle w:val="ListParagraph"/>
        <w:numPr>
          <w:ilvl w:val="0"/>
          <w:numId w:val="3"/>
        </w:numPr>
        <w:spacing w:after="80"/>
      </w:pPr>
      <w:r>
        <w:rPr>
          <w:rFonts w:ascii="Arial" w:cs="Arial" w:eastAsia="Arial" w:hAnsi="Arial"/>
          <w:sz w:val="22"/>
          <w:szCs w:val="22"/>
        </w:rPr>
        <w:t xml:space="preserve">Strategy selection. Based on intent class, primitive, and risk tier, choose one of the five resolution strategies in Section 5.</w:t>
      </w:r>
    </w:p>
    <w:p>
      <w:pPr>
        <w:pStyle w:val="ListParagraph"/>
        <w:numPr>
          <w:ilvl w:val="0"/>
          <w:numId w:val="3"/>
        </w:numPr>
        <w:spacing w:after="80"/>
      </w:pPr>
      <w:r>
        <w:rPr>
          <w:rFonts w:ascii="Arial" w:cs="Arial" w:eastAsia="Arial" w:hAnsi="Arial"/>
          <w:sz w:val="22"/>
          <w:szCs w:val="22"/>
        </w:rPr>
        <w:t xml:space="preserve">Ranking. Apply the ranking signal hierarchy in Section 6 to the surviving candidate set.</w:t>
      </w:r>
    </w:p>
    <w:p>
      <w:pPr>
        <w:pStyle w:val="ListParagraph"/>
        <w:numPr>
          <w:ilvl w:val="0"/>
          <w:numId w:val="3"/>
        </w:numPr>
        <w:spacing w:after="80"/>
      </w:pPr>
      <w:r>
        <w:rPr>
          <w:rFonts w:ascii="Arial" w:cs="Arial" w:eastAsia="Arial" w:hAnsi="Arial"/>
          <w:sz w:val="22"/>
          <w:szCs w:val="22"/>
        </w:rPr>
        <w:t xml:space="preserve">Execution. Apply the strategy and ranking to dispatch and render.</w:t>
      </w:r>
    </w:p>
    <w:p>
      <w:pPr>
        <w:pStyle w:val="ListParagraph"/>
        <w:numPr>
          <w:ilvl w:val="0"/>
          <w:numId w:val="3"/>
        </w:numPr>
        <w:spacing w:after="80"/>
      </w:pPr>
      <w:r>
        <w:rPr>
          <w:rFonts w:ascii="Arial" w:cs="Arial" w:eastAsia="Arial" w:hAnsi="Arial"/>
          <w:sz w:val="22"/>
          <w:szCs w:val="22"/>
        </w:rPr>
        <w:t xml:space="preserve">Outcome capture. Success, failure, and user correction logged to autonomy memory and the partner reliability ledger.</w:t>
      </w:r>
    </w:p>
    <w:p>
      <w:pPr>
        <w:spacing w:after="120"/>
      </w:pPr>
      <w:r>
        <w:rPr>
          <w:rFonts w:ascii="Arial" w:cs="Arial" w:eastAsia="Arial" w:hAnsi="Arial"/>
          <w:sz w:val="22"/>
          <w:szCs w:val="22"/>
        </w:rPr>
        <w:t xml:space="preserve">Steps 1–3 are deterministic given inputs. Steps 4–6 are deterministic given inputs and current signal state. Step 7 mutates state for future invocations.</w:t>
      </w:r>
    </w:p>
    <w:p>
      <w:pPr>
        <w:pStyle w:val="Heading1"/>
        <w:spacing w:after="200" w:before="360"/>
      </w:pPr>
      <w:r>
        <w:rPr>
          <w:rFonts w:ascii="Arial" w:cs="Arial" w:eastAsia="Arial" w:hAnsi="Arial"/>
          <w:b/>
          <w:bCs/>
          <w:sz w:val="32"/>
          <w:szCs w:val="32"/>
        </w:rPr>
        <w:t xml:space="preserve">5. Resolution Strategies</w:t>
      </w:r>
    </w:p>
    <w:p>
      <w:pPr>
        <w:spacing w:after="120"/>
      </w:pPr>
      <w:r>
        <w:rPr>
          <w:rFonts w:ascii="Arial" w:cs="Arial" w:eastAsia="Arial" w:hAnsi="Arial"/>
          <w:sz w:val="22"/>
          <w:szCs w:val="22"/>
        </w:rPr>
        <w:t xml:space="preserve">Five strategies cover all reconciliation cases. Each strategy carries explicit primitive compatibility and transparency requirements.</w:t>
      </w:r>
    </w:p>
    <w:p>
      <w:pPr>
        <w:pStyle w:val="Heading3"/>
        <w:spacing w:after="120" w:before="220"/>
      </w:pPr>
      <w:r>
        <w:rPr>
          <w:rFonts w:ascii="Arial" w:cs="Arial" w:eastAsia="Arial" w:hAnsi="Arial"/>
          <w:b/>
          <w:bCs/>
          <w:sz w:val="23"/>
          <w:szCs w:val="23"/>
        </w:rPr>
        <w:t xml:space="preserve">5.1 Single-Best</w:t>
      </w:r>
    </w:p>
    <w:p>
      <w:pPr>
        <w:spacing w:after="120"/>
      </w:pPr>
      <w:r>
        <w:rPr>
          <w:rFonts w:ascii="Arial" w:cs="Arial" w:eastAsia="Arial" w:hAnsi="Arial"/>
          <w:sz w:val="22"/>
          <w:szCs w:val="22"/>
        </w:rPr>
        <w:t xml:space="preserve">One partner is selected from the candidate set and used silently. The full ranking hierarchy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Aspect</w:t>
            </w:r>
          </w:p>
        </w:tc>
        <w:tc>
          <w:tcPr>
            <w:tcW w:type="dxa" w:w="69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Definition</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When to use</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Low-stakes, high-frequency tasks where choice fatigue would harm experience.</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Primitive compatibility</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Any primitive.</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Transparency</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Attribution glyph on rendered output. “Why this result?” available. User can switch via partner preferences.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Example</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“Translate ‘thank you’ to Tamil” → multiple translation candidates exist → ranking selects based on prior success → result rendered with partner attribution.</w:t>
            </w:r>
          </w:p>
        </w:tc>
      </w:tr>
    </w:tbl>
    <w:p>
      <w:pPr>
        <w:pStyle w:val="Heading3"/>
        <w:spacing w:after="120" w:before="220"/>
      </w:pPr>
      <w:r>
        <w:rPr>
          <w:rFonts w:ascii="Arial" w:cs="Arial" w:eastAsia="Arial" w:hAnsi="Arial"/>
          <w:b/>
          <w:bCs/>
          <w:sz w:val="23"/>
          <w:szCs w:val="23"/>
        </w:rPr>
        <w:t xml:space="preserve">5.2 Merged</w:t>
      </w:r>
    </w:p>
    <w:p>
      <w:pPr>
        <w:spacing w:after="120"/>
      </w:pPr>
      <w:r>
        <w:rPr>
          <w:rFonts w:ascii="Arial" w:cs="Arial" w:eastAsia="Arial" w:hAnsi="Arial"/>
          <w:sz w:val="22"/>
          <w:szCs w:val="22"/>
        </w:rPr>
        <w:t xml:space="preserve">All candidate partner results are combined into a single primitive view, with attribution per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Aspect</w:t>
            </w:r>
          </w:p>
        </w:tc>
        <w:tc>
          <w:tcPr>
            <w:tcW w:type="dxa" w:w="69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Definition</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When to use</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Discovery and List primitives where breadth of options is the user value.</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Primitive compatibility</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DiscoveryView, ListView, ComparisonView.</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Transparency</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Per-item attribution glyph. Partner ratio visible. User can filter by partner.</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Example</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“Restaurants near me” → Swiggy + Zomato + MagicPin → merged carousel, items intermixed by ranking, each with origin badge.</w:t>
            </w:r>
          </w:p>
        </w:tc>
      </w:tr>
    </w:tbl>
    <w:p>
      <w:pPr>
        <w:pStyle w:val="Heading3"/>
        <w:spacing w:after="120" w:before="220"/>
      </w:pPr>
      <w:r>
        <w:rPr>
          <w:rFonts w:ascii="Arial" w:cs="Arial" w:eastAsia="Arial" w:hAnsi="Arial"/>
          <w:b/>
          <w:bCs/>
          <w:sz w:val="23"/>
          <w:szCs w:val="23"/>
        </w:rPr>
        <w:t xml:space="preserve">5.3 Stratified</w:t>
      </w:r>
    </w:p>
    <w:p>
      <w:pPr>
        <w:spacing w:after="120"/>
      </w:pPr>
      <w:r>
        <w:rPr>
          <w:rFonts w:ascii="Arial" w:cs="Arial" w:eastAsia="Arial" w:hAnsi="Arial"/>
          <w:sz w:val="22"/>
          <w:szCs w:val="22"/>
        </w:rPr>
        <w:t xml:space="preserve">Each candidate partner gets their own labelled section in a single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Aspect</w:t>
            </w:r>
          </w:p>
        </w:tc>
        <w:tc>
          <w:tcPr>
            <w:tcW w:type="dxa" w:w="69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Definition</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When to use</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When merging would lose value the user cares about (e.g., cross-partner pricing for the same item) or when partner-specific identity materially shapes the result.</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Primitive compatibility</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DiscoveryView, ComparisonView.</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Transparency</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Section header per partner. Cross-partner comparison must show source per row.</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Example</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“iPhone 15 price comparison” → Amazon, Flipkart, and Croma each have a section with their offers.</w:t>
            </w:r>
          </w:p>
        </w:tc>
      </w:tr>
    </w:tbl>
    <w:p>
      <w:pPr>
        <w:pStyle w:val="Heading3"/>
        <w:spacing w:after="120" w:before="220"/>
      </w:pPr>
      <w:r>
        <w:rPr>
          <w:rFonts w:ascii="Arial" w:cs="Arial" w:eastAsia="Arial" w:hAnsi="Arial"/>
          <w:b/>
          <w:bCs/>
          <w:sz w:val="23"/>
          <w:szCs w:val="23"/>
        </w:rPr>
        <w:t xml:space="preserve">5.4 Choice-Gated</w:t>
      </w:r>
    </w:p>
    <w:p>
      <w:pPr>
        <w:spacing w:after="120"/>
      </w:pPr>
      <w:r>
        <w:rPr>
          <w:rFonts w:ascii="Arial" w:cs="Arial" w:eastAsia="Arial" w:hAnsi="Arial"/>
          <w:sz w:val="22"/>
          <w:szCs w:val="22"/>
        </w:rPr>
        <w:t xml:space="preserve">The user selects a partner explicitly before the query is dispatched.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Aspect</w:t>
            </w:r>
          </w:p>
        </w:tc>
        <w:tc>
          <w:tcPr>
            <w:tcW w:type="dxa" w:w="69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Definition</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When to use</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High-stakes actions where partner identity materially affects outcome and the user has known preferences.</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Primitive compatibility</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Any, but typically gates a downstream CommitmentSummaryView.</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Transparency</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Partner picker is the surface. Ranking still orders the picker. User choice is logged as preference signal.</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Example</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“Book a cab” → present Ola, Uber, BluSmart as choice surface → user selects → query dispatched to chosen partner.</w:t>
            </w:r>
          </w:p>
        </w:tc>
      </w:tr>
    </w:tbl>
    <w:p>
      <w:pPr>
        <w:pStyle w:val="Heading3"/>
        <w:spacing w:after="120" w:before="220"/>
      </w:pPr>
      <w:r>
        <w:rPr>
          <w:rFonts w:ascii="Arial" w:cs="Arial" w:eastAsia="Arial" w:hAnsi="Arial"/>
          <w:b/>
          <w:bCs/>
          <w:sz w:val="23"/>
          <w:szCs w:val="23"/>
        </w:rPr>
        <w:t xml:space="preserve">5.5 Sequential-Fallback</w:t>
      </w:r>
    </w:p>
    <w:p>
      <w:pPr>
        <w:spacing w:after="120"/>
      </w:pPr>
      <w:r>
        <w:rPr>
          <w:rFonts w:ascii="Arial" w:cs="Arial" w:eastAsia="Arial" w:hAnsi="Arial"/>
          <w:sz w:val="22"/>
          <w:szCs w:val="22"/>
        </w:rPr>
        <w:t xml:space="preserve">Try the top-ranked partner; on failure, try the next; surface only the first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Aspect</w:t>
            </w:r>
          </w:p>
        </w:tc>
        <w:tc>
          <w:tcPr>
            <w:tcW w:type="dxa" w:w="69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Definition</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When to use</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Execution-only tools where partner identity does not affect outcome value.</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Primitive compatibility</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StatusView for outcomes; void_render tools for state mutation.</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Transparency</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Log of attempted partners visible on demand. Failed attempts not surfaced unless all fail.</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Example</w:t>
            </w:r>
          </w:p>
        </w:tc>
        <w:tc>
          <w:tcPr>
            <w:tcW w:type="dxa" w:w="6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“Send an OTP” → try primary SMS gateway → if down, fall back to secondary → surface only the success.</w:t>
            </w:r>
          </w:p>
        </w:tc>
      </w:tr>
    </w:tbl>
    <w:p>
      <w:pPr>
        <w:pStyle w:val="Heading1"/>
        <w:spacing w:after="200" w:before="360"/>
      </w:pPr>
      <w:r>
        <w:rPr>
          <w:rFonts w:ascii="Arial" w:cs="Arial" w:eastAsia="Arial" w:hAnsi="Arial"/>
          <w:b/>
          <w:bCs/>
          <w:sz w:val="32"/>
          <w:szCs w:val="32"/>
        </w:rPr>
        <w:t xml:space="preserve">6. Ranking Signal Hierarchy</w:t>
      </w:r>
    </w:p>
    <w:p>
      <w:pPr>
        <w:spacing w:after="120"/>
      </w:pPr>
      <w:r>
        <w:rPr>
          <w:rFonts w:ascii="Arial" w:cs="Arial" w:eastAsia="Arial" w:hAnsi="Arial"/>
          <w:sz w:val="22"/>
          <w:szCs w:val="22"/>
        </w:rPr>
        <w:t xml:space="preserve">Signals are applied in order. Higher signals dominate lower ones. Lower signals act as tie-breakers within bands of higher-signal equivalence.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w:t>
            </w:r>
          </w:p>
        </w:tc>
        <w:tc>
          <w:tcPr>
            <w:tcW w:type="dxa" w:w="30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Signal</w:t>
            </w:r>
          </w:p>
        </w:tc>
        <w:tc>
          <w:tcPr>
            <w:tcW w:type="dxa" w:w="55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Definition and decay</w:t>
            </w:r>
          </w:p>
        </w:tc>
      </w:tr>
      <w:tr>
        <w:tc>
          <w:tcPr>
            <w:tcW w:type="dxa" w:w="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1</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Explicit user preference</w:t>
            </w:r>
          </w:p>
        </w:tc>
        <w:tc>
          <w:tcPr>
            <w:tcW w:type="dxa" w:w="5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User-set partner default for an intent class. Never decays unless user changes. Override-only.</w:t>
            </w:r>
          </w:p>
        </w:tc>
      </w:tr>
      <w:tr>
        <w:tc>
          <w:tcPr>
            <w:tcW w:type="dxa" w:w="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2</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Autonomy-reinforced preference</w:t>
            </w:r>
          </w:p>
        </w:tc>
        <w:tc>
          <w:tcPr>
            <w:tcW w:type="dxa" w:w="5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Successful repeat completions in this intent class with this partner. Decays per Memory Model time-weighting (60-day half-life by default).</w:t>
            </w:r>
          </w:p>
        </w:tc>
      </w:tr>
      <w:tr>
        <w:tc>
          <w:tcPr>
            <w:tcW w:type="dxa" w:w="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3</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Domain context</w:t>
            </w:r>
          </w:p>
        </w:tc>
        <w:tc>
          <w:tcPr>
            <w:tcW w:type="dxa" w:w="5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Active Assistant lens biases candidates within that domain. Session-scoped.</w:t>
            </w:r>
          </w:p>
        </w:tc>
      </w:tr>
      <w:tr>
        <w:tc>
          <w:tcPr>
            <w:tcW w:type="dxa" w:w="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4</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Locale match score</w:t>
            </w:r>
          </w:p>
        </w:tc>
        <w:tc>
          <w:tcPr>
            <w:tcW w:type="dxa" w:w="5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Partner’s declared locale strength for the user’s session locale.</w:t>
            </w:r>
          </w:p>
        </w:tc>
      </w:tr>
      <w:tr>
        <w:tc>
          <w:tcPr>
            <w:tcW w:type="dxa" w:w="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5</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SLA health score</w:t>
            </w:r>
          </w:p>
        </w:tc>
        <w:tc>
          <w:tcPr>
            <w:tcW w:type="dxa" w:w="5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Recent latency and availability vs declared SLA. Rolling 7-day window.</w:t>
            </w:r>
          </w:p>
        </w:tc>
      </w:tr>
      <w:tr>
        <w:tc>
          <w:tcPr>
            <w:tcW w:type="dxa" w:w="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6</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Result quality score</w:t>
            </w:r>
          </w:p>
        </w:tc>
        <w:tc>
          <w:tcPr>
            <w:tcW w:type="dxa" w:w="5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Item count, freshness, ratings density. Per-query.</w:t>
            </w:r>
          </w:p>
        </w:tc>
      </w:tr>
      <w:tr>
        <w:tc>
          <w:tcPr>
            <w:tcW w:type="dxa" w:w="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7</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Partner equity adjustment</w:t>
            </w:r>
          </w:p>
        </w:tc>
        <w:tc>
          <w:tcPr>
            <w:tcW w:type="dxa" w:w="5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Cold-start budget for new partners. Monopoly cap dampening for over-represented partners.</w:t>
            </w:r>
          </w:p>
        </w:tc>
      </w:tr>
      <w:tr>
        <w:tc>
          <w:tcPr>
            <w:tcW w:type="dxa" w:w="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8</w:t>
            </w:r>
          </w:p>
        </w:tc>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Disclosed commercial signal</w:t>
            </w:r>
          </w:p>
        </w:tc>
        <w:tc>
          <w:tcPr>
            <w:tcW w:type="dxa" w:w="5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Lowest weight. Permitted only if disclosed in the user-facing transparency surface. Undisclosed bias is an invariant violation.</w:t>
            </w:r>
          </w:p>
        </w:tc>
      </w:tr>
    </w:tbl>
    <w:p>
      <w:pPr>
        <w:spacing w:after="120"/>
      </w:pPr>
      <w:r>
        <w:rPr>
          <w:rFonts w:ascii="Arial" w:cs="Arial" w:eastAsia="Arial" w:hAnsi="Arial"/>
          <w:sz w:val="22"/>
          <w:szCs w:val="22"/>
        </w:rPr>
        <w:t xml:space="preserve">Demotion signals are time-decayed. The half-life of demotion is shorter than the half-life of promotion to avoid overcorrection from a single bad day.</w:t>
      </w:r>
    </w:p>
    <w:p>
      <w:pPr>
        <w:pStyle w:val="Heading1"/>
        <w:spacing w:after="200" w:before="360"/>
      </w:pPr>
      <w:r>
        <w:rPr>
          <w:rFonts w:ascii="Arial" w:cs="Arial" w:eastAsia="Arial" w:hAnsi="Arial"/>
          <w:b/>
          <w:bCs/>
          <w:sz w:val="32"/>
          <w:szCs w:val="32"/>
        </w:rPr>
        <w:t xml:space="preserve">7. Partner Equity Rules</w:t>
      </w:r>
    </w:p>
    <w:p>
      <w:pPr>
        <w:spacing w:after="120"/>
      </w:pPr>
      <w:r>
        <w:rPr>
          <w:rFonts w:ascii="Arial" w:cs="Arial" w:eastAsia="Arial" w:hAnsi="Arial"/>
          <w:sz w:val="22"/>
          <w:szCs w:val="22"/>
        </w:rPr>
        <w:t xml:space="preserve">Without equity rules, the autonomy reinforcement loop entrenches incumbents. New partners never receive enough traffic to demonstrate quality. Users never discover alternatives. The ecosystem ossifies. These rules exist to keep the system open.</w:t>
      </w:r>
    </w:p>
    <w:p>
      <w:pPr>
        <w:pStyle w:val="Heading3"/>
        <w:spacing w:after="120" w:before="220"/>
      </w:pPr>
      <w:r>
        <w:rPr>
          <w:rFonts w:ascii="Arial" w:cs="Arial" w:eastAsia="Arial" w:hAnsi="Arial"/>
          <w:b/>
          <w:bCs/>
          <w:sz w:val="23"/>
          <w:szCs w:val="23"/>
        </w:rPr>
        <w:t xml:space="preserve">7.1 Cold-Start Budget</w:t>
      </w:r>
    </w:p>
    <w:p>
      <w:pPr>
        <w:spacing w:after="120"/>
      </w:pPr>
      <w:r>
        <w:rPr>
          <w:rFonts w:ascii="Arial" w:cs="Arial" w:eastAsia="Arial" w:hAnsi="Arial"/>
          <w:sz w:val="22"/>
          <w:szCs w:val="22"/>
        </w:rPr>
        <w:t xml:space="preserve">A newly verified partner receives an exposure budget that artificially boosts their ranking for a bounded number of invocations or time window. The budget is consumed regardless of outcome, but quality outcomes accelerate transition into autonomy-reinforced ranking.</w:t>
      </w:r>
    </w:p>
    <w:p>
      <w:pPr>
        <w:pStyle w:val="Heading3"/>
        <w:spacing w:after="120" w:before="220"/>
      </w:pPr>
      <w:r>
        <w:rPr>
          <w:rFonts w:ascii="Arial" w:cs="Arial" w:eastAsia="Arial" w:hAnsi="Arial"/>
          <w:b/>
          <w:bCs/>
          <w:sz w:val="23"/>
          <w:szCs w:val="23"/>
        </w:rPr>
        <w:t xml:space="preserve">7.2 Monopoly Cap</w:t>
      </w:r>
    </w:p>
    <w:p>
      <w:pPr>
        <w:spacing w:after="120"/>
      </w:pPr>
      <w:r>
        <w:rPr>
          <w:rFonts w:ascii="Arial" w:cs="Arial" w:eastAsia="Arial" w:hAnsi="Arial"/>
          <w:sz w:val="22"/>
          <w:szCs w:val="22"/>
        </w:rPr>
        <w:t xml:space="preserve">No single partner may exceed a defined fulfilment share for a canonical intent within a session window unless the user has explicitly opted in. The cap exists to preserve discoverability of alternatives even as autonomy reinforces a strong preference.</w:t>
      </w:r>
    </w:p>
    <w:p>
      <w:pPr>
        <w:pStyle w:val="Heading3"/>
        <w:spacing w:after="120" w:before="220"/>
      </w:pPr>
      <w:r>
        <w:rPr>
          <w:rFonts w:ascii="Arial" w:cs="Arial" w:eastAsia="Arial" w:hAnsi="Arial"/>
          <w:b/>
          <w:bCs/>
          <w:sz w:val="23"/>
          <w:szCs w:val="23"/>
        </w:rPr>
        <w:t xml:space="preserve">7.3 Demotion Decay</w:t>
      </w:r>
    </w:p>
    <w:p>
      <w:pPr>
        <w:spacing w:after="120"/>
      </w:pPr>
      <w:r>
        <w:rPr>
          <w:rFonts w:ascii="Arial" w:cs="Arial" w:eastAsia="Arial" w:hAnsi="Arial"/>
          <w:sz w:val="22"/>
          <w:szCs w:val="22"/>
        </w:rPr>
        <w:t xml:space="preserve">A partner that fails (timeout, error, user correction) is demoted in ranking. Demotion decays over time so a single failure does not banish a partner. Decay is asymmetric: faster than promotion decay so the system recovers from incidents.</w:t>
      </w:r>
    </w:p>
    <w:p>
      <w:pPr>
        <w:pStyle w:val="Heading3"/>
        <w:spacing w:after="120" w:before="220"/>
      </w:pPr>
      <w:r>
        <w:rPr>
          <w:rFonts w:ascii="Arial" w:cs="Arial" w:eastAsia="Arial" w:hAnsi="Arial"/>
          <w:b/>
          <w:bCs/>
          <w:sz w:val="23"/>
          <w:szCs w:val="23"/>
        </w:rPr>
        <w:t xml:space="preserve">7.4 Suppression Visibility</w:t>
      </w:r>
    </w:p>
    <w:p>
      <w:pPr>
        <w:spacing w:after="120"/>
      </w:pPr>
      <w:r>
        <w:rPr>
          <w:rFonts w:ascii="Arial" w:cs="Arial" w:eastAsia="Arial" w:hAnsi="Arial"/>
          <w:sz w:val="22"/>
          <w:szCs w:val="22"/>
        </w:rPr>
        <w:t xml:space="preserve">If a partner is filtered out of a candidate set (e.g., SLA breach, locale mismatch), the user must be able to see this on demand. Suppression is never permanent without explicit user action.</w:t>
      </w:r>
    </w:p>
    <w:p>
      <w:pPr>
        <w:pStyle w:val="Heading1"/>
        <w:spacing w:after="200" w:before="360"/>
      </w:pPr>
      <w:r>
        <w:rPr>
          <w:rFonts w:ascii="Arial" w:cs="Arial" w:eastAsia="Arial" w:hAnsi="Arial"/>
          <w:b/>
          <w:bCs/>
          <w:sz w:val="32"/>
          <w:szCs w:val="32"/>
        </w:rPr>
        <w:t xml:space="preserve">8. Transparency Requirements</w:t>
      </w:r>
    </w:p>
    <w:p>
      <w:pPr>
        <w:spacing w:after="120"/>
      </w:pPr>
      <w:r>
        <w:rPr>
          <w:rFonts w:ascii="Arial" w:cs="Arial" w:eastAsia="Arial" w:hAnsi="Arial"/>
          <w:sz w:val="22"/>
          <w:szCs w:val="22"/>
        </w:rPr>
        <w:t xml:space="preserve">Transparency is the bound on learning. Every learned ranking decision must be inspectable. Every learned preference must be correctable. Every learned default must be reversible.</w:t>
      </w:r>
    </w:p>
    <w:p>
      <w:pPr>
        <w:pStyle w:val="Heading3"/>
        <w:spacing w:after="120" w:before="220"/>
      </w:pPr>
      <w:r>
        <w:rPr>
          <w:rFonts w:ascii="Arial" w:cs="Arial" w:eastAsia="Arial" w:hAnsi="Arial"/>
          <w:b/>
          <w:bCs/>
          <w:sz w:val="23"/>
          <w:szCs w:val="23"/>
        </w:rPr>
        <w:t xml:space="preserve">8.1 Attribution per Render</w:t>
      </w:r>
    </w:p>
    <w:p>
      <w:pPr>
        <w:spacing w:after="120"/>
      </w:pPr>
      <w:r>
        <w:rPr>
          <w:rFonts w:ascii="Arial" w:cs="Arial" w:eastAsia="Arial" w:hAnsi="Arial"/>
          <w:sz w:val="22"/>
          <w:szCs w:val="22"/>
        </w:rPr>
        <w:t xml:space="preserve">Every partner-fulfilled output renders with partner attribution per Manifest Schema 4.2. Attribution is non-negotiable regardless of strategy.</w:t>
      </w:r>
    </w:p>
    <w:p>
      <w:pPr>
        <w:pStyle w:val="Heading3"/>
        <w:spacing w:after="120" w:before="220"/>
      </w:pPr>
      <w:r>
        <w:rPr>
          <w:rFonts w:ascii="Arial" w:cs="Arial" w:eastAsia="Arial" w:hAnsi="Arial"/>
          <w:b/>
          <w:bCs/>
          <w:sz w:val="23"/>
          <w:szCs w:val="23"/>
        </w:rPr>
        <w:t xml:space="preserve">8.2 “Why This Result?”</w:t>
      </w:r>
    </w:p>
    <w:p>
      <w:pPr>
        <w:spacing w:after="120"/>
      </w:pPr>
      <w:r>
        <w:rPr>
          <w:rFonts w:ascii="Arial" w:cs="Arial" w:eastAsia="Arial" w:hAnsi="Arial"/>
          <w:sz w:val="22"/>
          <w:szCs w:val="22"/>
        </w:rPr>
        <w:t xml:space="preserve">Every partner-fulfilled output must support a “why this?” query that returns plain-language ranking explanation. Example output: “Showing this because you’ve ordered from Swiggy 12 times in the last month, and they had the fastest delivery estimate for your area.”</w:t>
      </w:r>
    </w:p>
    <w:p>
      <w:pPr>
        <w:pStyle w:val="Heading3"/>
        <w:spacing w:after="120" w:before="220"/>
      </w:pPr>
      <w:r>
        <w:rPr>
          <w:rFonts w:ascii="Arial" w:cs="Arial" w:eastAsia="Arial" w:hAnsi="Arial"/>
          <w:b/>
          <w:bCs/>
          <w:sz w:val="23"/>
          <w:szCs w:val="23"/>
        </w:rPr>
        <w:t xml:space="preserve">8.3 Partner Preferences Surface</w:t>
      </w:r>
    </w:p>
    <w:p>
      <w:pPr>
        <w:spacing w:after="120"/>
      </w:pPr>
      <w:r>
        <w:rPr>
          <w:rFonts w:ascii="Arial" w:cs="Arial" w:eastAsia="Arial" w:hAnsi="Arial"/>
          <w:sz w:val="22"/>
          <w:szCs w:val="22"/>
        </w:rPr>
        <w:t xml:space="preserve">A user-accessible surface listing per-domain partner preferences. Editable. Resettable. Per-domain, never global.</w:t>
      </w:r>
    </w:p>
    <w:p>
      <w:pPr>
        <w:pStyle w:val="Heading3"/>
        <w:spacing w:after="120" w:before="220"/>
      </w:pPr>
      <w:r>
        <w:rPr>
          <w:rFonts w:ascii="Arial" w:cs="Arial" w:eastAsia="Arial" w:hAnsi="Arial"/>
          <w:b/>
          <w:bCs/>
          <w:sz w:val="23"/>
          <w:szCs w:val="23"/>
        </w:rPr>
        <w:t xml:space="preserve">8.4 Disclosed Commercial Influence</w:t>
      </w:r>
    </w:p>
    <w:p>
      <w:pPr>
        <w:spacing w:after="120"/>
      </w:pPr>
      <w:r>
        <w:rPr>
          <w:rFonts w:ascii="Arial" w:cs="Arial" w:eastAsia="Arial" w:hAnsi="Arial"/>
          <w:sz w:val="22"/>
          <w:szCs w:val="22"/>
        </w:rPr>
        <w:t xml:space="preserve">Any commercial weighting applied to ranking must be disclosed within the transparency surface. The disclosure must be in plain language, not buried in terms of service. Undisclosed commercial bias is an invariant violation under Section 3.</w:t>
      </w:r>
    </w:p>
    <w:p>
      <w:pPr>
        <w:pStyle w:val="Heading3"/>
        <w:spacing w:after="120" w:before="220"/>
      </w:pPr>
      <w:r>
        <w:rPr>
          <w:rFonts w:ascii="Arial" w:cs="Arial" w:eastAsia="Arial" w:hAnsi="Arial"/>
          <w:b/>
          <w:bCs/>
          <w:sz w:val="23"/>
          <w:szCs w:val="23"/>
        </w:rPr>
        <w:t xml:space="preserve">8.5 Audit Log</w:t>
      </w:r>
    </w:p>
    <w:p>
      <w:pPr>
        <w:spacing w:after="120"/>
      </w:pPr>
      <w:r>
        <w:rPr>
          <w:rFonts w:ascii="Arial" w:cs="Arial" w:eastAsia="Arial" w:hAnsi="Arial"/>
          <w:sz w:val="22"/>
          <w:szCs w:val="22"/>
        </w:rPr>
        <w:t xml:space="preserve">Resolution decisions for high-stakes intents are logged in the Compliance Ledger with a reasoning trace: candidate set, applied filters, ranking signals, chosen strategy, fulfilment outcome.</w:t>
      </w:r>
    </w:p>
    <w:p>
      <w:pPr>
        <w:pStyle w:val="Heading1"/>
        <w:spacing w:after="200" w:before="360"/>
      </w:pPr>
      <w:r>
        <w:rPr>
          <w:rFonts w:ascii="Arial" w:cs="Arial" w:eastAsia="Arial" w:hAnsi="Arial"/>
          <w:b/>
          <w:bCs/>
          <w:sz w:val="32"/>
          <w:szCs w:val="32"/>
        </w:rPr>
        <w:t xml:space="preserve">9. Conflict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Case</w:t>
            </w:r>
          </w:p>
        </w:tc>
        <w:tc>
          <w:tcPr>
            <w:tcW w:type="dxa" w:w="59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Required behaviour</w:t>
            </w:r>
          </w:p>
        </w:tc>
      </w:tr>
      <w:tr>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Same canonical intent, multiple partners</w:t>
            </w:r>
          </w:p>
        </w:tc>
        <w:tc>
          <w:tcPr>
            <w:tcW w:type="dxa" w:w="5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Standard resolution flow per Section 4.</w:t>
            </w:r>
          </w:p>
        </w:tc>
      </w:tr>
      <w:tr>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Different canonical intents, overlapping outputs</w:t>
            </w:r>
          </w:p>
        </w:tc>
        <w:tc>
          <w:tcPr>
            <w:tcW w:type="dxa" w:w="5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Conversation Director disambiguates. Not a partner conflict.</w:t>
            </w:r>
          </w:p>
        </w:tc>
      </w:tr>
      <w:tr>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Same partner, two tools, same canonical intent</w:t>
            </w:r>
          </w:p>
        </w:tc>
        <w:tc>
          <w:tcPr>
            <w:tcW w:type="dxa" w:w="5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Manifest violation. Partner must consolidate or differentiate by sub-intent.</w:t>
            </w:r>
          </w:p>
        </w:tc>
      </w:tr>
      <w:tr>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Partner A available, Partner B unavailable</w:t>
            </w:r>
          </w:p>
        </w:tc>
        <w:tc>
          <w:tcPr>
            <w:tcW w:type="dxa" w:w="5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Fallback chain per Manifest 4.10.</w:t>
            </w:r>
          </w:p>
        </w:tc>
      </w:tr>
      <w:tr>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All eligible partners unavailable</w:t>
            </w:r>
          </w:p>
        </w:tc>
        <w:tc>
          <w:tcPr>
            <w:tcW w:type="dxa" w:w="5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Degraded mode per Section 11.</w:t>
            </w:r>
          </w:p>
        </w:tc>
      </w:tr>
      <w:tr>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User explicit preference for unavailable partner</w:t>
            </w:r>
          </w:p>
        </w:tc>
        <w:tc>
          <w:tcPr>
            <w:tcW w:type="dxa" w:w="5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Surface clear message: “Your preferred partner X is unavailable. Try Y, or wait?” Never silent substitution.</w:t>
            </w:r>
          </w:p>
        </w:tc>
      </w:tr>
      <w:tr>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High-stakes intent with low-confidence ranking</w:t>
            </w:r>
          </w:p>
        </w:tc>
        <w:tc>
          <w:tcPr>
            <w:tcW w:type="dxa" w:w="5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Escalate to Choice-Gated regardless of intent class default.</w:t>
            </w:r>
          </w:p>
        </w:tc>
      </w:tr>
      <w:tr>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Ranking tie at the top of candidate set</w:t>
            </w:r>
          </w:p>
        </w:tc>
        <w:tc>
          <w:tcPr>
            <w:tcW w:type="dxa" w:w="59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Apply equity adjustment as tie-breaker before falling back to deterministic partner_id ordering.</w:t>
            </w:r>
          </w:p>
        </w:tc>
      </w:tr>
    </w:tbl>
    <w:p>
      <w:pPr>
        <w:pStyle w:val="Heading1"/>
        <w:spacing w:after="200" w:before="360"/>
      </w:pPr>
      <w:r>
        <w:rPr>
          <w:rFonts w:ascii="Arial" w:cs="Arial" w:eastAsia="Arial" w:hAnsi="Arial"/>
          <w:b/>
          <w:bCs/>
          <w:sz w:val="32"/>
          <w:szCs w:val="32"/>
        </w:rPr>
        <w:t xml:space="preserve">10.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Bad pattern</w:t>
            </w:r>
          </w:p>
        </w:tc>
        <w:tc>
          <w:tcPr>
            <w:tcW w:type="dxa" w:w="32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Why it violates</w:t>
            </w:r>
          </w:p>
        </w:tc>
        <w:tc>
          <w:tcPr>
            <w:tcW w:type="dxa" w:w="31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Correct pattern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Silent commercial bias in ranking</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Violates invariant 4 and transparency 8.4</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Apply commercial weighting only as the lowest signal and disclose it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Cross-partner data leakage</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Violates invariant 5</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Partner data is session-scoped and never enriches a different partner’s invocation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Silent partner switch mid-flow</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Breaks user trust and provenance</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Surface the switch explicitly; require re-confirmation if commitment is pending</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Suppressing partners without user-visible reason</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Violates invariant 7</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Always make suppression inspectable on demand</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Locking user to a single partner without inspectable reason</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Violates invariant 1 and invariant 6</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Monopoly cap enforces visibility of alternatives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Penalising new partners with cold-start zero ranking</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Violates invariant 9</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Enforce cold-start budget per Section 7.1</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Letting demotion persist forever after a single failure</w:t>
            </w:r>
          </w:p>
        </w:tc>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Violates invariant 8</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Apply demotion decay per Section 7.3</w:t>
            </w:r>
          </w:p>
        </w:tc>
      </w:tr>
    </w:tbl>
    <w:p>
      <w:pPr>
        <w:pStyle w:val="Heading1"/>
        <w:spacing w:after="200" w:before="360"/>
      </w:pPr>
      <w:r>
        <w:rPr>
          <w:rFonts w:ascii="Arial" w:cs="Arial" w:eastAsia="Arial" w:hAnsi="Arial"/>
          <w:b/>
          <w:bCs/>
          <w:sz w:val="32"/>
          <w:szCs w:val="32"/>
        </w:rPr>
        <w:t xml:space="preserve">11. Degraded Mode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Condition</w:t>
            </w:r>
          </w:p>
        </w:tc>
        <w:tc>
          <w:tcPr>
            <w:tcW w:type="dxa" w:w="61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Required behaviour</w:t>
            </w:r>
          </w:p>
        </w:tc>
      </w:tr>
      <w:tr>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All candidate partners unavailable for an intent</w:t>
            </w:r>
          </w:p>
        </w:tc>
        <w:tc>
          <w:tcPr>
            <w:tcW w:type="dxa" w:w="6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Surface graceful “we couldn’t reach our partners for this right now” message. Never silent failure.</w:t>
            </w:r>
          </w:p>
        </w:tc>
      </w:tr>
      <w:tr>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Stale ranking signals due to memory layer failure</w:t>
            </w:r>
          </w:p>
        </w:tc>
        <w:tc>
          <w:tcPr>
            <w:tcW w:type="dxa" w:w="6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Fall back to neutral ranking with explicit user notice. No autonomy reinforcement during this window.</w:t>
            </w:r>
          </w:p>
        </w:tc>
      </w:tr>
      <w:tr>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Compliance Ledger unavailable for partner action</w:t>
            </w:r>
          </w:p>
        </w:tc>
        <w:tc>
          <w:tcPr>
            <w:tcW w:type="dxa" w:w="6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Freeze action per Memory Model 11a. Partner notified. User informed.</w:t>
            </w:r>
          </w:p>
        </w:tc>
      </w:tr>
      <w:tr>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Partner MCP authentication failure</w:t>
            </w:r>
          </w:p>
        </w:tc>
        <w:tc>
          <w:tcPr>
            <w:tcW w:type="dxa" w:w="6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Tool removed from candidate set. User notified if they had explicit preference for that partner.</w:t>
            </w:r>
          </w:p>
        </w:tc>
      </w:tr>
      <w:tr>
        <w:tc>
          <w:tcPr>
            <w:tcW w:type="dxa" w:w="32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Session locale shift mid-flow</w:t>
            </w:r>
          </w:p>
        </w:tc>
        <w:tc>
          <w:tcPr>
            <w:tcW w:type="dxa" w:w="6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Re-evaluate candidate set. If chosen partner no longer matches locale, surface the shift to user before continuing.</w:t>
            </w:r>
          </w:p>
        </w:tc>
      </w:tr>
    </w:tbl>
    <w:p>
      <w:pPr>
        <w:pStyle w:val="Heading1"/>
        <w:spacing w:after="200" w:before="360"/>
      </w:pPr>
      <w:r>
        <w:rPr>
          <w:rFonts w:ascii="Arial" w:cs="Arial" w:eastAsia="Arial" w:hAnsi="Arial"/>
          <w:b/>
          <w:bCs/>
          <w:sz w:val="32"/>
          <w:szCs w:val="32"/>
        </w:rPr>
        <w:t xml:space="preserve">12. Relationship to Governing Models</w:t>
      </w:r>
    </w:p>
    <w:p>
      <w:pPr>
        <w:spacing w:after="120"/>
      </w:pPr>
      <w:r>
        <w:rPr>
          <w:rFonts w:ascii="Arial" w:cs="Arial" w:eastAsia="Arial" w:hAnsi="Arial"/>
          <w:sz w:val="22"/>
          <w:szCs w:val="22"/>
        </w:rPr>
        <w:t xml:space="preserve">This document operates on the candidate set produced by the partner registry. It does not redefine canonical states, memory mutation, or commitment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Model</w:t>
            </w:r>
          </w:p>
        </w:tc>
        <w:tc>
          <w:tcPr>
            <w:tcW w:type="dxa" w:w="6760"/>
            <w:tcBorders>
              <w:top w:val="single" w:color="BFBFBF" w:sz="1"/>
              <w:left w:val="single" w:color="BFBFBF" w:sz="1"/>
              <w:bottom w:val="single" w:color="BFBFBF" w:sz="1"/>
              <w:right w:val="single" w:color="BFBFBF" w:sz="1"/>
            </w:tcBorders>
            <w:shd w:fill="EEEEEE" w:val="clear"/>
            <w:tcMar>
              <w:top w:type="dxa" w:w="100"/>
              <w:left w:type="dxa" w:w="140"/>
              <w:bottom w:type="dxa" w:w="100"/>
              <w:right w:type="dxa" w:w="140"/>
            </w:tcMar>
          </w:tcPr>
          <w:p>
            <w:r>
              <w:rPr>
                <w:rFonts w:ascii="Arial" w:cs="Arial" w:eastAsia="Arial" w:hAnsi="Arial"/>
                <w:b/>
                <w:bCs/>
                <w:sz w:val="20"/>
                <w:szCs w:val="20"/>
              </w:rPr>
              <w:t xml:space="preserve">Relationship</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Interaction Model (Core)</w:t>
            </w:r>
          </w:p>
        </w:tc>
        <w:tc>
          <w:tcPr>
            <w:tcW w:type="dxa" w:w="6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Candidate selection and ranking happen before the canonical state machine advances. This document does not introduce new states.</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Conversation History Model</w:t>
            </w:r>
          </w:p>
        </w:tc>
        <w:tc>
          <w:tcPr>
            <w:tcW w:type="dxa" w:w="6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Ranking signals are read from autonomy memory. Outcomes reinforce signals per Memory Model mutation rules. Partner preference is itself a learned signal subject to those rules.</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Integrated Modal Experience Model</w:t>
            </w:r>
          </w:p>
        </w:tc>
        <w:tc>
          <w:tcPr>
            <w:tcW w:type="dxa" w:w="6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High-risk-tier intents may force escalation to Choice-Gated regardless of strategy default. Confirmation strength is owned by that model.</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Assistant &amp; Tools Experience Model</w:t>
            </w:r>
          </w:p>
        </w:tc>
        <w:tc>
          <w:tcPr>
            <w:tcW w:type="dxa" w:w="6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When an Assistant lens is active, domain context biases ranking. The lens does not eliminate candidates outside the lens, but does down-weight them.</w:t>
            </w:r>
          </w:p>
        </w:tc>
      </w:tr>
      <w:tr>
        <w:tc>
          <w:tcPr>
            <w:tcW w:type="dxa" w:w="26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Partner Capability Manifest</w:t>
            </w:r>
          </w:p>
        </w:tc>
        <w:tc>
          <w:tcPr>
            <w:tcW w:type="dxa" w:w="6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rFonts w:ascii="Arial" w:cs="Arial" w:eastAsia="Arial" w:hAnsi="Arial"/>
                <w:b w:val="false"/>
                <w:bCs w:val="false"/>
                <w:sz w:val="20"/>
                <w:szCs w:val="20"/>
              </w:rPr>
              <w:t xml:space="preserve">This document operates on the candidate set produced by manifest registry filtering. The manifest defines candidate eligibility; this document defines candidate ranking and presentation.</w:t>
            </w:r>
          </w:p>
        </w:tc>
      </w:tr>
    </w:tbl>
    <w:p>
      <w:pPr>
        <w:pStyle w:val="Heading1"/>
        <w:spacing w:after="200" w:before="360"/>
      </w:pPr>
      <w:r>
        <w:rPr>
          <w:rFonts w:ascii="Arial" w:cs="Arial" w:eastAsia="Arial" w:hAnsi="Arial"/>
          <w:b/>
          <w:bCs/>
          <w:sz w:val="32"/>
          <w:szCs w:val="32"/>
        </w:rPr>
        <w:t xml:space="preserve">13. Acceptance Criteria</w:t>
      </w:r>
    </w:p>
    <w:p>
      <w:pPr>
        <w:spacing w:after="120"/>
      </w:pPr>
      <w:r>
        <w:rPr>
          <w:rFonts w:ascii="Arial" w:cs="Arial" w:eastAsia="Arial" w:hAnsi="Arial"/>
          <w:sz w:val="22"/>
          <w:szCs w:val="22"/>
        </w:rPr>
        <w:t xml:space="preserve">A canonical intent supports multi-partner reconciliation correctly only when all the following hold.</w:t>
      </w:r>
    </w:p>
    <w:p>
      <w:pPr>
        <w:pStyle w:val="ListParagraph"/>
        <w:numPr>
          <w:ilvl w:val="0"/>
          <w:numId w:val="3"/>
        </w:numPr>
        <w:spacing w:after="80"/>
      </w:pPr>
      <w:r>
        <w:rPr>
          <w:rFonts w:ascii="Arial" w:cs="Arial" w:eastAsia="Arial" w:hAnsi="Arial"/>
          <w:sz w:val="22"/>
          <w:szCs w:val="22"/>
        </w:rPr>
        <w:t xml:space="preserve">Resolution strategy is deterministic given inputs and signal state.</w:t>
      </w:r>
    </w:p>
    <w:p>
      <w:pPr>
        <w:pStyle w:val="ListParagraph"/>
        <w:numPr>
          <w:ilvl w:val="0"/>
          <w:numId w:val="3"/>
        </w:numPr>
        <w:spacing w:after="80"/>
      </w:pPr>
      <w:r>
        <w:rPr>
          <w:rFonts w:ascii="Arial" w:cs="Arial" w:eastAsia="Arial" w:hAnsi="Arial"/>
          <w:sz w:val="22"/>
          <w:szCs w:val="22"/>
        </w:rPr>
        <w:t xml:space="preserve">Ranking trace is logged for every partner-fulfilled output.</w:t>
      </w:r>
    </w:p>
    <w:p>
      <w:pPr>
        <w:pStyle w:val="ListParagraph"/>
        <w:numPr>
          <w:ilvl w:val="0"/>
          <w:numId w:val="3"/>
        </w:numPr>
        <w:spacing w:after="80"/>
      </w:pPr>
      <w:r>
        <w:rPr>
          <w:rFonts w:ascii="Arial" w:cs="Arial" w:eastAsia="Arial" w:hAnsi="Arial"/>
          <w:sz w:val="22"/>
          <w:szCs w:val="22"/>
        </w:rPr>
        <w:t xml:space="preserve">“Why this result?” surface is implemented for every supported intent class.</w:t>
      </w:r>
    </w:p>
    <w:p>
      <w:pPr>
        <w:pStyle w:val="ListParagraph"/>
        <w:numPr>
          <w:ilvl w:val="0"/>
          <w:numId w:val="3"/>
        </w:numPr>
        <w:spacing w:after="80"/>
      </w:pPr>
      <w:r>
        <w:rPr>
          <w:rFonts w:ascii="Arial" w:cs="Arial" w:eastAsia="Arial" w:hAnsi="Arial"/>
          <w:sz w:val="22"/>
          <w:szCs w:val="22"/>
        </w:rPr>
        <w:t xml:space="preserve">Partner preferences surface is implemented and reachable from any partner-fulfilled output.</w:t>
      </w:r>
    </w:p>
    <w:p>
      <w:pPr>
        <w:pStyle w:val="ListParagraph"/>
        <w:numPr>
          <w:ilvl w:val="0"/>
          <w:numId w:val="3"/>
        </w:numPr>
        <w:spacing w:after="80"/>
      </w:pPr>
      <w:r>
        <w:rPr>
          <w:rFonts w:ascii="Arial" w:cs="Arial" w:eastAsia="Arial" w:hAnsi="Arial"/>
          <w:sz w:val="22"/>
          <w:szCs w:val="22"/>
        </w:rPr>
        <w:t xml:space="preserve">Cold-start budget is enforced for every new verified partner.</w:t>
      </w:r>
    </w:p>
    <w:p>
      <w:pPr>
        <w:pStyle w:val="ListParagraph"/>
        <w:numPr>
          <w:ilvl w:val="0"/>
          <w:numId w:val="3"/>
        </w:numPr>
        <w:spacing w:after="80"/>
      </w:pPr>
      <w:r>
        <w:rPr>
          <w:rFonts w:ascii="Arial" w:cs="Arial" w:eastAsia="Arial" w:hAnsi="Arial"/>
          <w:sz w:val="22"/>
          <w:szCs w:val="22"/>
        </w:rPr>
        <w:t xml:space="preserve">Monopoly cap is enforced and measurable per domain.</w:t>
      </w:r>
    </w:p>
    <w:p>
      <w:pPr>
        <w:pStyle w:val="ListParagraph"/>
        <w:numPr>
          <w:ilvl w:val="0"/>
          <w:numId w:val="3"/>
        </w:numPr>
        <w:spacing w:after="80"/>
      </w:pPr>
      <w:r>
        <w:rPr>
          <w:rFonts w:ascii="Arial" w:cs="Arial" w:eastAsia="Arial" w:hAnsi="Arial"/>
          <w:sz w:val="22"/>
          <w:szCs w:val="22"/>
        </w:rPr>
        <w:t xml:space="preserve">Suppressed partner visibility is implemented and reachable on demand.</w:t>
      </w:r>
    </w:p>
    <w:p>
      <w:pPr>
        <w:pStyle w:val="ListParagraph"/>
        <w:numPr>
          <w:ilvl w:val="0"/>
          <w:numId w:val="3"/>
        </w:numPr>
        <w:spacing w:after="80"/>
      </w:pPr>
      <w:r>
        <w:rPr>
          <w:rFonts w:ascii="Arial" w:cs="Arial" w:eastAsia="Arial" w:hAnsi="Arial"/>
          <w:sz w:val="22"/>
          <w:szCs w:val="22"/>
        </w:rPr>
        <w:t xml:space="preserve">Cross-partner data exchange audit shows zero unauthorised events over rolling window.</w:t>
      </w:r>
    </w:p>
    <w:p>
      <w:pPr>
        <w:pStyle w:val="ListParagraph"/>
        <w:numPr>
          <w:ilvl w:val="0"/>
          <w:numId w:val="3"/>
        </w:numPr>
        <w:spacing w:after="80"/>
      </w:pPr>
      <w:r>
        <w:rPr>
          <w:rFonts w:ascii="Arial" w:cs="Arial" w:eastAsia="Arial" w:hAnsi="Arial"/>
          <w:sz w:val="22"/>
          <w:szCs w:val="22"/>
        </w:rPr>
        <w:t xml:space="preserve">Outcome capture feeds autonomy memory and partner reliability ledger correctly.</w:t>
      </w:r>
    </w:p>
    <w:p>
      <w:pPr>
        <w:pStyle w:val="ListParagraph"/>
        <w:numPr>
          <w:ilvl w:val="0"/>
          <w:numId w:val="3"/>
        </w:numPr>
        <w:spacing w:after="80"/>
      </w:pPr>
      <w:r>
        <w:rPr>
          <w:rFonts w:ascii="Arial" w:cs="Arial" w:eastAsia="Arial" w:hAnsi="Arial"/>
          <w:sz w:val="22"/>
          <w:szCs w:val="22"/>
        </w:rPr>
        <w:t xml:space="preserve">Disclosed commercial influence (if any) is surfaced in the transparency layer in plain language.</w:t>
      </w:r>
    </w:p>
    <w:p>
      <w:pPr>
        <w:pStyle w:val="Heading1"/>
        <w:spacing w:after="200" w:before="360"/>
      </w:pPr>
      <w:r>
        <w:rPr>
          <w:rFonts w:ascii="Arial" w:cs="Arial" w:eastAsia="Arial" w:hAnsi="Arial"/>
          <w:b/>
          <w:bCs/>
          <w:sz w:val="32"/>
          <w:szCs w:val="32"/>
        </w:rPr>
        <w:t xml:space="preserve">14. Open Questions</w:t>
      </w:r>
    </w:p>
    <w:p>
      <w:pPr>
        <w:pStyle w:val="ListParagraph"/>
        <w:numPr>
          <w:ilvl w:val="0"/>
          <w:numId w:val="2"/>
        </w:numPr>
        <w:spacing w:after="80"/>
      </w:pPr>
      <w:r>
        <w:rPr>
          <w:rFonts w:ascii="Arial" w:cs="Arial" w:eastAsia="Arial" w:hAnsi="Arial"/>
          <w:sz w:val="22"/>
          <w:szCs w:val="22"/>
        </w:rPr>
        <w:t xml:space="preserve">Cold-start budget size: how many invocations and how long? Per-domain calibration or universal?</w:t>
      </w:r>
    </w:p>
    <w:p>
      <w:pPr>
        <w:pStyle w:val="ListParagraph"/>
        <w:numPr>
          <w:ilvl w:val="0"/>
          <w:numId w:val="2"/>
        </w:numPr>
        <w:spacing w:after="80"/>
      </w:pPr>
      <w:r>
        <w:rPr>
          <w:rFonts w:ascii="Arial" w:cs="Arial" w:eastAsia="Arial" w:hAnsi="Arial"/>
          <w:sz w:val="22"/>
          <w:szCs w:val="22"/>
        </w:rPr>
        <w:t xml:space="preserve">Monopoly cap threshold: 60%, 70%, 80%? Calibrated per domain or universal?</w:t>
      </w:r>
    </w:p>
    <w:p>
      <w:pPr>
        <w:pStyle w:val="ListParagraph"/>
        <w:numPr>
          <w:ilvl w:val="0"/>
          <w:numId w:val="2"/>
        </w:numPr>
        <w:spacing w:after="80"/>
      </w:pPr>
      <w:r>
        <w:rPr>
          <w:rFonts w:ascii="Arial" w:cs="Arial" w:eastAsia="Arial" w:hAnsi="Arial"/>
          <w:sz w:val="22"/>
          <w:szCs w:val="22"/>
        </w:rPr>
        <w:t xml:space="preserve">Disclosed commercial signal: how much weight is acceptable before user trust erodes? Where exactly is disclosure surfaced?</w:t>
      </w:r>
    </w:p>
    <w:p>
      <w:pPr>
        <w:pStyle w:val="ListParagraph"/>
        <w:numPr>
          <w:ilvl w:val="0"/>
          <w:numId w:val="2"/>
        </w:numPr>
        <w:spacing w:after="80"/>
      </w:pPr>
      <w:r>
        <w:rPr>
          <w:rFonts w:ascii="Arial" w:cs="Arial" w:eastAsia="Arial" w:hAnsi="Arial"/>
          <w:sz w:val="22"/>
          <w:szCs w:val="22"/>
        </w:rPr>
        <w:t xml:space="preserve">“Why this result?” UX: voice-first, screen-first, or surface-adaptive?</w:t>
      </w:r>
    </w:p>
    <w:p>
      <w:pPr>
        <w:pStyle w:val="ListParagraph"/>
        <w:numPr>
          <w:ilvl w:val="0"/>
          <w:numId w:val="2"/>
        </w:numPr>
        <w:spacing w:after="80"/>
      </w:pPr>
      <w:r>
        <w:rPr>
          <w:rFonts w:ascii="Arial" w:cs="Arial" w:eastAsia="Arial" w:hAnsi="Arial"/>
          <w:sz w:val="22"/>
          <w:szCs w:val="22"/>
        </w:rPr>
        <w:t xml:space="preserve">Cross-partner data exchange in user-mediated cases: what is the consent UX? How granular?</w:t>
      </w:r>
    </w:p>
    <w:p>
      <w:pPr>
        <w:pStyle w:val="ListParagraph"/>
        <w:numPr>
          <w:ilvl w:val="0"/>
          <w:numId w:val="2"/>
        </w:numPr>
        <w:spacing w:after="80"/>
      </w:pPr>
      <w:r>
        <w:rPr>
          <w:rFonts w:ascii="Arial" w:cs="Arial" w:eastAsia="Arial" w:hAnsi="Arial"/>
          <w:sz w:val="22"/>
          <w:szCs w:val="22"/>
        </w:rPr>
        <w:t xml:space="preserve">User-explicit partner exclusion: should users be able to permanently exclude a partner from their candidate set?</w:t>
      </w:r>
    </w:p>
    <w:p>
      <w:pPr>
        <w:pStyle w:val="ListParagraph"/>
        <w:numPr>
          <w:ilvl w:val="0"/>
          <w:numId w:val="2"/>
        </w:numPr>
        <w:spacing w:after="80"/>
      </w:pPr>
      <w:r>
        <w:rPr>
          <w:rFonts w:ascii="Arial" w:cs="Arial" w:eastAsia="Arial" w:hAnsi="Arial"/>
          <w:sz w:val="22"/>
          <w:szCs w:val="22"/>
        </w:rPr>
        <w:t xml:space="preserve">Outcome capture taxonomy: what counts as success vs. correction vs. neutral exit? Particularly for non-commitment intents.</w:t>
      </w:r>
    </w:p>
    <w:p>
      <w:pPr>
        <w:pStyle w:val="ListParagraph"/>
        <w:numPr>
          <w:ilvl w:val="0"/>
          <w:numId w:val="2"/>
        </w:numPr>
        <w:spacing w:after="80"/>
      </w:pPr>
      <w:r>
        <w:rPr>
          <w:rFonts w:ascii="Arial" w:cs="Arial" w:eastAsia="Arial" w:hAnsi="Arial"/>
          <w:sz w:val="22"/>
          <w:szCs w:val="22"/>
        </w:rPr>
        <w:t xml:space="preserve">Stratified vs. Merged auto-detection: rule-based per primitive variant, or learned per-user?</w:t>
      </w:r>
    </w:p>
    <w:p>
      <w:pPr>
        <w:pStyle w:val="ListParagraph"/>
        <w:numPr>
          <w:ilvl w:val="0"/>
          <w:numId w:val="2"/>
        </w:numPr>
        <w:spacing w:after="80"/>
      </w:pPr>
      <w:r>
        <w:rPr>
          <w:rFonts w:ascii="Arial" w:cs="Arial" w:eastAsia="Arial" w:hAnsi="Arial"/>
          <w:sz w:val="22"/>
          <w:szCs w:val="22"/>
        </w:rPr>
        <w:t xml:space="preserve">Choice-Gated escalation threshold: at what confidence gap do we switch from Single-Best to Choice-Gated for high-stakes intents?</w:t>
      </w:r>
    </w:p>
    <w:p>
      <w:pPr>
        <w:pStyle w:val="ListParagraph"/>
        <w:numPr>
          <w:ilvl w:val="0"/>
          <w:numId w:val="2"/>
        </w:numPr>
        <w:spacing w:after="80"/>
      </w:pPr>
      <w:r>
        <w:rPr>
          <w:rFonts w:ascii="Arial" w:cs="Arial" w:eastAsia="Arial" w:hAnsi="Arial"/>
          <w:sz w:val="22"/>
          <w:szCs w:val="22"/>
        </w:rPr>
        <w:t xml:space="preserve">Equity rules across language minorities: do regional-language partners need additional cold-start protection to compete with English-default incumbents?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2026-05-07T10:32:16.281Z</dcterms:created>
  <dcterms:modified xsi:type="dcterms:W3CDTF">2026-05-07T10:32:16.282Z</dcterms:modified>
</cp:coreProperties>
</file>

<file path=docProps/custom.xml><?xml version="1.0" encoding="utf-8"?>
<Properties xmlns="http://schemas.openxmlformats.org/officeDocument/2006/custom-properties" xmlns:vt="http://schemas.openxmlformats.org/officeDocument/2006/docPropsVTypes"/>
</file>