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JioBharatIQ</w:t>
      </w:r>
    </w:p>
    <w:p>
      <w:pPr>
        <w:spacing w:after="200"/>
      </w:pPr>
      <w:r>
        <w:rPr>
          <w:rFonts w:ascii="Arial" w:cs="Arial" w:eastAsia="Arial" w:hAnsi="Arial"/>
          <w:b/>
          <w:bCs/>
          <w:sz w:val="40"/>
          <w:szCs w:val="40"/>
        </w:rPr>
        <w:t xml:space="preserve">Partner Capability Manifest</w:t>
      </w:r>
    </w:p>
    <w:p>
      <w:pPr>
        <w:spacing w:after="320"/>
      </w:pPr>
      <w:r>
        <w:rPr>
          <w:rFonts w:ascii="Arial" w:cs="Arial" w:eastAsia="Arial" w:hAnsi="Arial"/>
          <w:i/>
          <w:iCs/>
          <w:sz w:val="22"/>
          <w:szCs w:val="22"/>
        </w:rPr>
        <w:t xml:space="preserve">The contract for ingesting third-party tools into JBIQ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Value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Version</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V0.1</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Status</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Work In Progress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Applies to</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Product, Design, Engineering, Partner Engineering, AI Systems, QA, Compliance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Owner</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Matt Jarvis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Last Updated</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February 2026</w:t>
            </w:r>
          </w:p>
        </w:tc>
      </w:tr>
    </w:tbl>
    <w:p>
      <w:r>
        <w:br w:type="page"/>
      </w:r>
    </w:p>
    <w:p>
      <w:pPr>
        <w:pStyle w:val="Heading1"/>
        <w:spacing w:after="200" w:before="360"/>
      </w:pPr>
      <w:r>
        <w:rPr>
          <w:rFonts w:ascii="Arial" w:cs="Arial" w:eastAsia="Arial" w:hAnsi="Arial"/>
          <w:b/>
          <w:bCs/>
          <w:sz w:val="32"/>
          <w:szCs w:val="32"/>
        </w:rPr>
        <w:t xml:space="preserve">0. Purpose &amp; Authority</w:t>
      </w:r>
    </w:p>
    <w:p>
      <w:pPr>
        <w:spacing w:after="120"/>
      </w:pPr>
      <w:r>
        <w:rPr>
          <w:rFonts w:ascii="Arial" w:cs="Arial" w:eastAsia="Arial" w:hAnsi="Arial"/>
          <w:sz w:val="22"/>
          <w:szCs w:val="22"/>
        </w:rPr>
        <w:t xml:space="preserve">This document defines the contract a third party must satisfy to expose tools through JBIQ. It is the only point of negotiation between JBIQ and a partner. Everything that follows in the system—intent canonicalisation, output rendering, commitment brokerage, memory mediation—is derived from what is declared here.</w:t>
      </w:r>
    </w:p>
    <w:p>
      <w:pPr>
        <w:spacing w:after="120"/>
      </w:pPr>
      <w:r>
        <w:rPr>
          <w:rFonts w:ascii="Arial" w:cs="Arial" w:eastAsia="Arial" w:hAnsi="Arial"/>
          <w:sz w:val="22"/>
          <w:szCs w:val="22"/>
        </w:rPr>
        <w:t xml:space="preserve">It exists to:</w:t>
      </w:r>
    </w:p>
    <w:p>
      <w:pPr>
        <w:pStyle w:val="ListParagraph"/>
        <w:numPr>
          <w:ilvl w:val="0"/>
          <w:numId w:val="2"/>
        </w:numPr>
        <w:spacing w:after="80"/>
      </w:pPr>
      <w:r>
        <w:rPr>
          <w:rFonts w:ascii="Arial" w:cs="Arial" w:eastAsia="Arial" w:hAnsi="Arial"/>
          <w:sz w:val="22"/>
          <w:szCs w:val="22"/>
        </w:rPr>
        <w:t xml:space="preserve">Allow any partner, in any vertical, to participate in JBIQ conversation through a single declarative contract</w:t>
      </w:r>
    </w:p>
    <w:p>
      <w:pPr>
        <w:pStyle w:val="ListParagraph"/>
        <w:numPr>
          <w:ilvl w:val="0"/>
          <w:numId w:val="2"/>
        </w:numPr>
        <w:spacing w:after="80"/>
      </w:pPr>
      <w:r>
        <w:rPr>
          <w:rFonts w:ascii="Arial" w:cs="Arial" w:eastAsia="Arial" w:hAnsi="Arial"/>
          <w:sz w:val="22"/>
          <w:szCs w:val="22"/>
        </w:rPr>
        <w:t xml:space="preserve">Prevent partner-specific UI, state machines, or commitment flows from leaking into the canonical experience</w:t>
      </w:r>
    </w:p>
    <w:p>
      <w:pPr>
        <w:pStyle w:val="ListParagraph"/>
        <w:numPr>
          <w:ilvl w:val="0"/>
          <w:numId w:val="2"/>
        </w:numPr>
        <w:spacing w:after="80"/>
      </w:pPr>
      <w:r>
        <w:rPr>
          <w:rFonts w:ascii="Arial" w:cs="Arial" w:eastAsia="Arial" w:hAnsi="Arial"/>
          <w:sz w:val="22"/>
          <w:szCs w:val="22"/>
        </w:rPr>
        <w:t xml:space="preserve">Enforce that partner integration is a translation problem, not an integration problem</w:t>
      </w:r>
    </w:p>
    <w:p>
      <w:pPr>
        <w:pStyle w:val="ListParagraph"/>
        <w:numPr>
          <w:ilvl w:val="0"/>
          <w:numId w:val="2"/>
        </w:numPr>
        <w:spacing w:after="80"/>
      </w:pPr>
      <w:r>
        <w:rPr>
          <w:rFonts w:ascii="Arial" w:cs="Arial" w:eastAsia="Arial" w:hAnsi="Arial"/>
          <w:sz w:val="22"/>
          <w:szCs w:val="22"/>
        </w:rPr>
        <w:t xml:space="preserve">Make partner ingestion machine-validatable, machine-enforceable, and machine-rankable</w:t>
      </w:r>
    </w:p>
    <w:p>
      <w:pPr>
        <w:spacing w:after="120"/>
      </w:pPr>
      <w:r>
        <w:rPr>
          <w:rFonts w:ascii="Arial" w:cs="Arial" w:eastAsia="Arial" w:hAnsi="Arial"/>
          <w:sz w:val="22"/>
          <w:szCs w:val="22"/>
        </w:rPr>
        <w:t xml:space="preserve">This document is normative, not aspirational. Any partner tool that violates this model must be rejected at registry time or revoked at runtime. Any internal experience that bypasses this model to integrate a partner must be flagged and corrected.</w:t>
      </w:r>
    </w:p>
    <w:p>
      <w:pPr>
        <w:pStyle w:val="Heading1"/>
        <w:spacing w:after="200" w:before="360"/>
      </w:pPr>
      <w:r>
        <w:rPr>
          <w:rFonts w:ascii="Arial" w:cs="Arial" w:eastAsia="Arial" w:hAnsi="Arial"/>
          <w:b/>
          <w:bCs/>
          <w:sz w:val="32"/>
          <w:szCs w:val="32"/>
        </w:rPr>
        <w:t xml:space="preserve">1. Scope &amp; Non-Goals</w:t>
      </w:r>
    </w:p>
    <w:p>
      <w:pPr>
        <w:pStyle w:val="Heading3"/>
        <w:spacing w:after="120" w:before="220"/>
      </w:pPr>
      <w:r>
        <w:rPr>
          <w:rFonts w:ascii="Arial" w:cs="Arial" w:eastAsia="Arial" w:hAnsi="Arial"/>
          <w:b/>
          <w:bCs/>
          <w:sz w:val="23"/>
          <w:szCs w:val="23"/>
        </w:rPr>
        <w:t xml:space="preserve">In scope</w:t>
      </w:r>
    </w:p>
    <w:p>
      <w:pPr>
        <w:pStyle w:val="ListParagraph"/>
        <w:numPr>
          <w:ilvl w:val="0"/>
          <w:numId w:val="2"/>
        </w:numPr>
        <w:spacing w:after="80"/>
      </w:pPr>
      <w:r>
        <w:rPr>
          <w:rFonts w:ascii="Arial" w:cs="Arial" w:eastAsia="Arial" w:hAnsi="Arial"/>
          <w:sz w:val="22"/>
          <w:szCs w:val="22"/>
        </w:rPr>
        <w:t xml:space="preserve">Manifest structure, field semantics, and validation rules</w:t>
      </w:r>
    </w:p>
    <w:p>
      <w:pPr>
        <w:pStyle w:val="ListParagraph"/>
        <w:numPr>
          <w:ilvl w:val="0"/>
          <w:numId w:val="2"/>
        </w:numPr>
        <w:spacing w:after="80"/>
      </w:pPr>
      <w:r>
        <w:rPr>
          <w:rFonts w:ascii="Arial" w:cs="Arial" w:eastAsia="Arial" w:hAnsi="Arial"/>
          <w:sz w:val="22"/>
          <w:szCs w:val="22"/>
        </w:rPr>
        <w:t xml:space="preserve">The declarative adapter DSL and its imperative fallback</w:t>
      </w:r>
    </w:p>
    <w:p>
      <w:pPr>
        <w:pStyle w:val="ListParagraph"/>
        <w:numPr>
          <w:ilvl w:val="0"/>
          <w:numId w:val="2"/>
        </w:numPr>
        <w:spacing w:after="80"/>
      </w:pPr>
      <w:r>
        <w:rPr>
          <w:rFonts w:ascii="Arial" w:cs="Arial" w:eastAsia="Arial" w:hAnsi="Arial"/>
          <w:sz w:val="22"/>
          <w:szCs w:val="22"/>
        </w:rPr>
        <w:t xml:space="preserve">Registry lifecycle, versioning, and revocation</w:t>
      </w:r>
    </w:p>
    <w:p>
      <w:pPr>
        <w:pStyle w:val="ListParagraph"/>
        <w:numPr>
          <w:ilvl w:val="0"/>
          <w:numId w:val="2"/>
        </w:numPr>
        <w:spacing w:after="80"/>
      </w:pPr>
      <w:r>
        <w:rPr>
          <w:rFonts w:ascii="Arial" w:cs="Arial" w:eastAsia="Arial" w:hAnsi="Arial"/>
          <w:sz w:val="22"/>
          <w:szCs w:val="22"/>
        </w:rPr>
        <w:t xml:space="preserve">Partner-side obligations and JBIQ-side guarantees</w:t>
      </w:r>
    </w:p>
    <w:p>
      <w:pPr>
        <w:pStyle w:val="ListParagraph"/>
        <w:numPr>
          <w:ilvl w:val="0"/>
          <w:numId w:val="2"/>
        </w:numPr>
        <w:spacing w:after="80"/>
      </w:pPr>
      <w:r>
        <w:rPr>
          <w:rFonts w:ascii="Arial" w:cs="Arial" w:eastAsia="Arial" w:hAnsi="Arial"/>
          <w:sz w:val="22"/>
          <w:szCs w:val="22"/>
        </w:rPr>
        <w:t xml:space="preserve">Compliance gating per DPDP, RBI, and the Memory Model</w:t>
      </w:r>
    </w:p>
    <w:p>
      <w:pPr>
        <w:pStyle w:val="Heading3"/>
        <w:spacing w:after="120" w:before="220"/>
      </w:pPr>
      <w:r>
        <w:rPr>
          <w:rFonts w:ascii="Arial" w:cs="Arial" w:eastAsia="Arial" w:hAnsi="Arial"/>
          <w:b/>
          <w:bCs/>
          <w:sz w:val="23"/>
          <w:szCs w:val="23"/>
        </w:rPr>
        <w:t xml:space="preserve">Out of scope</w:t>
      </w:r>
    </w:p>
    <w:p>
      <w:pPr>
        <w:pStyle w:val="ListParagraph"/>
        <w:numPr>
          <w:ilvl w:val="0"/>
          <w:numId w:val="2"/>
        </w:numPr>
        <w:spacing w:after="80"/>
      </w:pPr>
      <w:r>
        <w:rPr>
          <w:rFonts w:ascii="Arial" w:cs="Arial" w:eastAsia="Arial" w:hAnsi="Arial"/>
          <w:sz w:val="22"/>
          <w:szCs w:val="22"/>
        </w:rPr>
        <w:t xml:space="preserve">Partner MCP server implementation details</w:t>
      </w:r>
    </w:p>
    <w:p>
      <w:pPr>
        <w:pStyle w:val="ListParagraph"/>
        <w:numPr>
          <w:ilvl w:val="0"/>
          <w:numId w:val="2"/>
        </w:numPr>
        <w:spacing w:after="80"/>
      </w:pPr>
      <w:r>
        <w:rPr>
          <w:rFonts w:ascii="Arial" w:cs="Arial" w:eastAsia="Arial" w:hAnsi="Arial"/>
          <w:sz w:val="22"/>
          <w:szCs w:val="22"/>
        </w:rPr>
        <w:t xml:space="preserve">Commercial agreements, revenue share, or pricing models</w:t>
      </w:r>
    </w:p>
    <w:p>
      <w:pPr>
        <w:pStyle w:val="ListParagraph"/>
        <w:numPr>
          <w:ilvl w:val="0"/>
          <w:numId w:val="2"/>
        </w:numPr>
        <w:spacing w:after="80"/>
      </w:pPr>
      <w:r>
        <w:rPr>
          <w:rFonts w:ascii="Arial" w:cs="Arial" w:eastAsia="Arial" w:hAnsi="Arial"/>
          <w:sz w:val="22"/>
          <w:szCs w:val="22"/>
        </w:rPr>
        <w:t xml:space="preserve">Multi-partner ranking and conflict resolution (governed by the Multi-Partner Conflict Resolution Model)</w:t>
      </w:r>
    </w:p>
    <w:p>
      <w:pPr>
        <w:pStyle w:val="ListParagraph"/>
        <w:numPr>
          <w:ilvl w:val="0"/>
          <w:numId w:val="2"/>
        </w:numPr>
        <w:spacing w:after="80"/>
      </w:pPr>
      <w:r>
        <w:rPr>
          <w:rFonts w:ascii="Arial" w:cs="Arial" w:eastAsia="Arial" w:hAnsi="Arial"/>
          <w:sz w:val="22"/>
          <w:szCs w:val="22"/>
        </w:rPr>
        <w:t xml:space="preserve">Specific partner integrations beyond the worked examples in Section 7</w:t>
      </w:r>
    </w:p>
    <w:p>
      <w:pPr>
        <w:pStyle w:val="ListParagraph"/>
        <w:numPr>
          <w:ilvl w:val="0"/>
          <w:numId w:val="2"/>
        </w:numPr>
        <w:spacing w:after="80"/>
      </w:pPr>
      <w:r>
        <w:rPr>
          <w:rFonts w:ascii="Arial" w:cs="Arial" w:eastAsia="Arial" w:hAnsi="Arial"/>
          <w:sz w:val="22"/>
          <w:szCs w:val="22"/>
        </w:rPr>
        <w:t xml:space="preserve">Brand voice, tone, or visual design</w:t>
      </w:r>
    </w:p>
    <w:p>
      <w:pPr>
        <w:pStyle w:val="Heading1"/>
        <w:spacing w:after="200" w:before="360"/>
      </w:pPr>
      <w:r>
        <w:rPr>
          <w:rFonts w:ascii="Arial" w:cs="Arial" w:eastAsia="Arial" w:hAnsi="Arial"/>
          <w:b/>
          <w:bCs/>
          <w:sz w:val="32"/>
          <w:szCs w:val="32"/>
        </w:rPr>
        <w:t xml:space="preserve">2. Core Philosophy</w:t>
      </w:r>
    </w:p>
    <w:p>
      <w:pPr>
        <w:spacing w:after="120"/>
      </w:pPr>
      <w:r>
        <w:rPr>
          <w:rFonts w:ascii="Arial" w:cs="Arial" w:eastAsia="Arial" w:hAnsi="Arial"/>
          <w:sz w:val="22"/>
          <w:szCs w:val="22"/>
        </w:rPr>
        <w:t xml:space="preserve">Three sentences orient everything that follows.</w:t>
      </w:r>
    </w:p>
    <w:p>
      <w:pPr>
        <w:spacing w:after="160" w:before="80"/>
      </w:pPr>
      <w:r>
        <w:rPr>
          <w:rFonts w:ascii="Arial" w:cs="Arial" w:eastAsia="Arial" w:hAnsi="Arial"/>
          <w:i/>
          <w:iCs/>
          <w:sz w:val="22"/>
          <w:szCs w:val="22"/>
        </w:rPr>
        <w:t xml:space="preserve">Partners declare capability. JBIQ governs interaction.</w:t>
      </w:r>
    </w:p>
    <w:p>
      <w:pPr>
        <w:spacing w:after="160" w:before="80"/>
      </w:pPr>
      <w:r>
        <w:rPr>
          <w:rFonts w:ascii="Arial" w:cs="Arial" w:eastAsia="Arial" w:hAnsi="Arial"/>
          <w:i/>
          <w:iCs/>
          <w:sz w:val="22"/>
          <w:szCs w:val="22"/>
        </w:rPr>
        <w:t xml:space="preserve">This is a translation problem, not an integration problem.</w:t>
      </w:r>
    </w:p>
    <w:p>
      <w:pPr>
        <w:spacing w:after="160" w:before="80"/>
      </w:pPr>
      <w:r>
        <w:rPr>
          <w:rFonts w:ascii="Arial" w:cs="Arial" w:eastAsia="Arial" w:hAnsi="Arial"/>
          <w:i/>
          <w:iCs/>
          <w:sz w:val="22"/>
          <w:szCs w:val="22"/>
        </w:rPr>
        <w:t xml:space="preserve">The number of verticals is unbounded. The number of canonical primitives is small.</w:t>
      </w:r>
    </w:p>
    <w:p>
      <w:pPr>
        <w:spacing w:after="120"/>
      </w:pPr>
      <w:r>
        <w:rPr>
          <w:rFonts w:ascii="Arial" w:cs="Arial" w:eastAsia="Arial" w:hAnsi="Arial"/>
          <w:sz w:val="22"/>
          <w:szCs w:val="22"/>
        </w:rPr>
        <w:t xml:space="preserve">A partner does not bring their own UI, their own state machine, their own commitment flow, or their own user trust model. The partner declares what their tool does, what data it consumes and produces, what risk it carries, and what locales it serves. JBIQ does the rest: routing, rendering, confirming, learning.</w:t>
      </w:r>
    </w:p>
    <w:p>
      <w:pPr>
        <w:spacing w:after="120"/>
      </w:pPr>
      <w:r>
        <w:rPr>
          <w:rFonts w:ascii="Arial" w:cs="Arial" w:eastAsia="Arial" w:hAnsi="Arial"/>
          <w:sz w:val="22"/>
          <w:szCs w:val="22"/>
        </w:rPr>
        <w:t xml:space="preserve">The manifest is the only contract surface. Out-of-band negotiation—custom adapters, bespoke embeds, partner-specific UI assets beyond what the manifest authorises—is prohibited. Partner branding appears as content within canonical chrome, never as chrome.</w:t>
      </w:r>
    </w:p>
    <w:p>
      <w:pPr>
        <w:spacing w:after="120"/>
      </w:pPr>
      <w:r>
        <w:rPr>
          <w:rFonts w:ascii="Arial" w:cs="Arial" w:eastAsia="Arial" w:hAnsi="Arial"/>
          <w:sz w:val="22"/>
          <w:szCs w:val="22"/>
        </w:rPr>
        <w:t xml:space="preserve">Adapters are declarative-first. A partner who can map their response into the canonical primitive schema using the JBIQ adapter DSL ingests cleanly with no JBIQ engineering effort. Imperative adapters exist as a controlled fallback for partners whose responses cannot be expressed declaratively, but they carry additional review burden and SLA constraints.</w:t>
      </w:r>
    </w:p>
    <w:p>
      <w:pPr>
        <w:pStyle w:val="Heading1"/>
        <w:spacing w:after="200" w:before="360"/>
      </w:pPr>
      <w:r>
        <w:rPr>
          <w:rFonts w:ascii="Arial" w:cs="Arial" w:eastAsia="Arial" w:hAnsi="Arial"/>
          <w:b/>
          <w:bCs/>
          <w:sz w:val="32"/>
          <w:szCs w:val="32"/>
        </w:rPr>
        <w:t xml:space="preserve">3. Manifest Invariants</w:t>
      </w:r>
    </w:p>
    <w:p>
      <w:pPr>
        <w:spacing w:after="120"/>
      </w:pPr>
      <w:r>
        <w:rPr>
          <w:rFonts w:ascii="Arial" w:cs="Arial" w:eastAsia="Arial" w:hAnsi="Arial"/>
          <w:sz w:val="22"/>
          <w:szCs w:val="22"/>
        </w:rPr>
        <w:t xml:space="preserve">These invariants are non-negotiable and machine-enforced.</w:t>
      </w:r>
    </w:p>
    <w:p>
      <w:pPr>
        <w:pStyle w:val="ListParagraph"/>
        <w:numPr>
          <w:ilvl w:val="0"/>
          <w:numId w:val="3"/>
        </w:numPr>
        <w:spacing w:after="80"/>
      </w:pPr>
      <w:r>
        <w:rPr>
          <w:rFonts w:ascii="Arial" w:cs="Arial" w:eastAsia="Arial" w:hAnsi="Arial"/>
          <w:sz w:val="22"/>
          <w:szCs w:val="22"/>
        </w:rPr>
        <w:t xml:space="preserve">Every partner tool that participates in JBIQ conversation must register a valid manifest.</w:t>
      </w:r>
    </w:p>
    <w:p>
      <w:pPr>
        <w:pStyle w:val="ListParagraph"/>
        <w:numPr>
          <w:ilvl w:val="0"/>
          <w:numId w:val="3"/>
        </w:numPr>
        <w:spacing w:after="80"/>
      </w:pPr>
      <w:r>
        <w:rPr>
          <w:rFonts w:ascii="Arial" w:cs="Arial" w:eastAsia="Arial" w:hAnsi="Arial"/>
          <w:sz w:val="22"/>
          <w:szCs w:val="22"/>
        </w:rPr>
        <w:t xml:space="preserve">The manifest is the only contract surface between partner and JBIQ. No out-of-band integration is permitted.</w:t>
      </w:r>
    </w:p>
    <w:p>
      <w:pPr>
        <w:pStyle w:val="ListParagraph"/>
        <w:numPr>
          <w:ilvl w:val="0"/>
          <w:numId w:val="3"/>
        </w:numPr>
        <w:spacing w:after="80"/>
      </w:pPr>
      <w:r>
        <w:rPr>
          <w:rFonts w:ascii="Arial" w:cs="Arial" w:eastAsia="Arial" w:hAnsi="Arial"/>
          <w:sz w:val="22"/>
          <w:szCs w:val="22"/>
        </w:rPr>
        <w:t xml:space="preserve">Partners declare canonical intents. They do not invent new ones. They do not introduce new states or new output primitives.</w:t>
      </w:r>
    </w:p>
    <w:p>
      <w:pPr>
        <w:pStyle w:val="ListParagraph"/>
        <w:numPr>
          <w:ilvl w:val="0"/>
          <w:numId w:val="3"/>
        </w:numPr>
        <w:spacing w:after="80"/>
      </w:pPr>
      <w:r>
        <w:rPr>
          <w:rFonts w:ascii="Arial" w:cs="Arial" w:eastAsia="Arial" w:hAnsi="Arial"/>
          <w:sz w:val="22"/>
          <w:szCs w:val="22"/>
        </w:rPr>
        <w:t xml:space="preserve">Partner output is rendered through canonical primitives only. Custom UI is prohibited.</w:t>
      </w:r>
    </w:p>
    <w:p>
      <w:pPr>
        <w:pStyle w:val="ListParagraph"/>
        <w:numPr>
          <w:ilvl w:val="0"/>
          <w:numId w:val="3"/>
        </w:numPr>
        <w:spacing w:after="80"/>
      </w:pPr>
      <w:r>
        <w:rPr>
          <w:rFonts w:ascii="Arial" w:cs="Arial" w:eastAsia="Arial" w:hAnsi="Arial"/>
          <w:sz w:val="22"/>
          <w:szCs w:val="22"/>
        </w:rPr>
        <w:t xml:space="preserve">COMMITMENT_REQUIRED is owned by JBIQ regardless of which partner fulfils the intent. Partners do not display their own checkout or confirmation surface.</w:t>
      </w:r>
    </w:p>
    <w:p>
      <w:pPr>
        <w:pStyle w:val="ListParagraph"/>
        <w:numPr>
          <w:ilvl w:val="0"/>
          <w:numId w:val="3"/>
        </w:numPr>
        <w:spacing w:after="80"/>
      </w:pPr>
      <w:r>
        <w:rPr>
          <w:rFonts w:ascii="Arial" w:cs="Arial" w:eastAsia="Arial" w:hAnsi="Arial"/>
          <w:sz w:val="22"/>
          <w:szCs w:val="22"/>
        </w:rPr>
        <w:t xml:space="preserve">Memory writes occur only through JBIQ-mediated paths declared in the manifest. Direct partner writes are prohibited.</w:t>
      </w:r>
    </w:p>
    <w:p>
      <w:pPr>
        <w:pStyle w:val="ListParagraph"/>
        <w:numPr>
          <w:ilvl w:val="0"/>
          <w:numId w:val="3"/>
        </w:numPr>
        <w:spacing w:after="80"/>
      </w:pPr>
      <w:r>
        <w:rPr>
          <w:rFonts w:ascii="Arial" w:cs="Arial" w:eastAsia="Arial" w:hAnsi="Arial"/>
          <w:sz w:val="22"/>
          <w:szCs w:val="22"/>
        </w:rPr>
        <w:t xml:space="preserve">Partner branding appears only as attribution. It does not appear as chrome, frame, or surface header.</w:t>
      </w:r>
    </w:p>
    <w:p>
      <w:pPr>
        <w:pStyle w:val="ListParagraph"/>
        <w:numPr>
          <w:ilvl w:val="0"/>
          <w:numId w:val="3"/>
        </w:numPr>
        <w:spacing w:after="80"/>
      </w:pPr>
      <w:r>
        <w:rPr>
          <w:rFonts w:ascii="Arial" w:cs="Arial" w:eastAsia="Arial" w:hAnsi="Arial"/>
          <w:sz w:val="22"/>
          <w:szCs w:val="22"/>
        </w:rPr>
        <w:t xml:space="preserve">Manifest violations result in tool deregistration. There is no partial-violation state.</w:t>
      </w:r>
    </w:p>
    <w:p>
      <w:pPr>
        <w:pStyle w:val="ListParagraph"/>
        <w:numPr>
          <w:ilvl w:val="0"/>
          <w:numId w:val="3"/>
        </w:numPr>
        <w:spacing w:after="80"/>
      </w:pPr>
      <w:r>
        <w:rPr>
          <w:rFonts w:ascii="Arial" w:cs="Arial" w:eastAsia="Arial" w:hAnsi="Arial"/>
          <w:sz w:val="22"/>
          <w:szCs w:val="22"/>
        </w:rPr>
        <w:t xml:space="preserve">Cross-partner data exchange via JBIQ is prohibited unless explicitly user-mediated.</w:t>
      </w:r>
    </w:p>
    <w:p>
      <w:pPr>
        <w:pStyle w:val="ListParagraph"/>
        <w:numPr>
          <w:ilvl w:val="0"/>
          <w:numId w:val="3"/>
        </w:numPr>
        <w:spacing w:after="80"/>
      </w:pPr>
      <w:r>
        <w:rPr>
          <w:rFonts w:ascii="Arial" w:cs="Arial" w:eastAsia="Arial" w:hAnsi="Arial"/>
          <w:sz w:val="22"/>
          <w:szCs w:val="22"/>
        </w:rPr>
        <w:t xml:space="preserve">Aadhaar, biometric data, payment credentials, and OTP/PIN values may not appear in any manifest field, adapter spec, or partner-bound payload.</w:t>
      </w:r>
    </w:p>
    <w:p>
      <w:pPr>
        <w:pStyle w:val="Heading1"/>
        <w:spacing w:after="200" w:before="360"/>
      </w:pPr>
      <w:r>
        <w:rPr>
          <w:rFonts w:ascii="Arial" w:cs="Arial" w:eastAsia="Arial" w:hAnsi="Arial"/>
          <w:b/>
          <w:bCs/>
          <w:sz w:val="32"/>
          <w:szCs w:val="32"/>
        </w:rPr>
        <w:t xml:space="preserve">4. Canonical Manifest Schema</w:t>
      </w:r>
    </w:p>
    <w:p>
      <w:pPr>
        <w:spacing w:after="120"/>
      </w:pPr>
      <w:r>
        <w:rPr>
          <w:rFonts w:ascii="Arial" w:cs="Arial" w:eastAsia="Arial" w:hAnsi="Arial"/>
          <w:sz w:val="22"/>
          <w:szCs w:val="22"/>
        </w:rPr>
        <w:t xml:space="preserve">Every manifest is composed of the eleven sections below. All fields marked Required must be present at submission. JBIQ may compute or assign values for fields marked System.</w:t>
      </w:r>
    </w:p>
    <w:p>
      <w:pPr>
        <w:pStyle w:val="Heading3"/>
        <w:spacing w:after="120" w:before="220"/>
      </w:pPr>
      <w:r>
        <w:rPr>
          <w:rFonts w:ascii="Arial" w:cs="Arial" w:eastAsia="Arial" w:hAnsi="Arial"/>
          <w:b/>
          <w:bCs/>
          <w:sz w:val="23"/>
          <w:szCs w:val="23"/>
        </w:rPr>
        <w:t xml:space="preserve">4.1 Identity &amp;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4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manifest_version</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 (semver)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Schema version. Must match a JBIQ-supported version.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partner_id</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 (slug)</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JBIQ-issued partner identifier. Stable across the partner relationship.</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tool_id</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 (slug)</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Unique within partner. Stable across versions of the same tool.</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tool_version</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 (semver)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Increments per behavioural change. Breaking changes require a new tool_id.</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published_at</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ISO 8601</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Submission timestamp.</w:t>
            </w:r>
          </w:p>
        </w:tc>
      </w:tr>
    </w:tbl>
    <w:p>
      <w:pPr>
        <w:pStyle w:val="Heading3"/>
        <w:spacing w:after="120" w:before="220"/>
      </w:pPr>
      <w:r>
        <w:rPr>
          <w:rFonts w:ascii="Arial" w:cs="Arial" w:eastAsia="Arial" w:hAnsi="Arial"/>
          <w:b/>
          <w:bCs/>
          <w:sz w:val="23"/>
          <w:szCs w:val="23"/>
        </w:rPr>
        <w:t xml:space="preserve">4.2 Attribution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2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display_name</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localised string map</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Partner-readable name for in-card attribution.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attribution.badge_logo_uri</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URI</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Square partner logo glyph. Validated for size and accessibility contrast.</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attribution.surface_text</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localised string map</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Short attribution phrase, e.g. “via Swiggy”. Max 24 chars per locale.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attribution.trust_tier</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System</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JBIQ-assigned: verified, provisional, sandbox. Read-only by partner.</w:t>
            </w:r>
          </w:p>
        </w:tc>
      </w:tr>
    </w:tbl>
    <w:p>
      <w:pPr>
        <w:pStyle w:val="Heading3"/>
        <w:spacing w:after="120" w:before="220"/>
      </w:pPr>
      <w:r>
        <w:rPr>
          <w:rFonts w:ascii="Arial" w:cs="Arial" w:eastAsia="Arial" w:hAnsi="Arial"/>
          <w:b/>
          <w:bCs/>
          <w:sz w:val="23"/>
          <w:szCs w:val="23"/>
        </w:rPr>
        <w:t xml:space="preserve">4.3 Intent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100"/>
        <w:gridCol w:w="41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canonical_intent</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 (dotted)</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Must exist in the JBIQ canonical intent registry. Partners cannot invent.</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intent_priority</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primary or fallback. Affects candidate ranking before user signals are applied.</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intent_confidence_threshold</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float [0,1]</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Below this, the Conversation Director will not route to this tool.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signals_required</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signal IDs</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will not be invoked unless every required signal is available.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signals_optional</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signal IDs</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Used by the adapter if available. Not gating.</w:t>
            </w:r>
          </w:p>
        </w:tc>
      </w:tr>
    </w:tbl>
    <w:p>
      <w:pPr>
        <w:pStyle w:val="Heading3"/>
        <w:spacing w:after="120" w:before="220"/>
      </w:pPr>
      <w:r>
        <w:rPr>
          <w:rFonts w:ascii="Arial" w:cs="Arial" w:eastAsia="Arial" w:hAnsi="Arial"/>
          <w:b/>
          <w:bCs/>
          <w:sz w:val="23"/>
          <w:szCs w:val="23"/>
        </w:rPr>
        <w:t xml:space="preserve">4.4 Output Primitive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100"/>
        <w:gridCol w:w="3860"/>
      </w:tblGrid>
      <w:tr>
        <w:trPr>
          <w:tblHeader/>
        </w:trPr>
        <w:tc>
          <w:tcPr>
            <w:tcW w:type="dxa" w:w="2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2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38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One of: DiscoveryView, ComparisonView, SlotPickerView, CommitmentSummaryView, TrackingView, DetailView, ListView, StatusView.</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primitive_variant</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 (per primitive)</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Within DiscoveryView: carousel, grid, list. Within others, see primitive spec.</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void_render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boolean</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Default false. True for tools that mutate state without rendering output (e.g., addToCart).</w:t>
            </w:r>
          </w:p>
        </w:tc>
      </w:tr>
    </w:tbl>
    <w:p>
      <w:pPr>
        <w:pStyle w:val="Heading3"/>
        <w:spacing w:after="120" w:before="220"/>
      </w:pPr>
      <w:r>
        <w:rPr>
          <w:rFonts w:ascii="Arial" w:cs="Arial" w:eastAsia="Arial" w:hAnsi="Arial"/>
          <w:b/>
          <w:bCs/>
          <w:sz w:val="23"/>
          <w:szCs w:val="23"/>
        </w:rPr>
        <w:t xml:space="preserve">4.5 Adapter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00"/>
        <w:gridCol w:w="4260"/>
      </w:tblGrid>
      <w:tr>
        <w:trPr>
          <w:tblHeader/>
        </w:trPr>
        <w:tc>
          <w:tcPr>
            <w:tcW w:type="dxa" w:w="2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3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2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adapter_type</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declarative or imperative.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adapter_spec</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object</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If declarative</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Field-mapping spec in the JBIQ Adapter DSL. See Section 5.</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adapter_endpoint</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URI</w:t>
            </w:r>
          </w:p>
        </w:tc>
        <w:tc>
          <w:tcPr>
            <w:tcW w:type="dxa" w:w="13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If imperative</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JBIQ-callable endpoint. Receives partner response, returns canonical primitive schema.</w:t>
            </w:r>
          </w:p>
        </w:tc>
      </w:tr>
    </w:tbl>
    <w:p>
      <w:pPr>
        <w:pStyle w:val="Heading3"/>
        <w:spacing w:after="120" w:before="220"/>
      </w:pPr>
      <w:r>
        <w:rPr>
          <w:rFonts w:ascii="Arial" w:cs="Arial" w:eastAsia="Arial" w:hAnsi="Arial"/>
          <w:b/>
          <w:bCs/>
          <w:sz w:val="23"/>
          <w:szCs w:val="23"/>
        </w:rPr>
        <w:t xml:space="preserve">4.6 Commitment &amp;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2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commitment_level</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none, soft, hard-functional, hard-financial. Governs whether COMMITMENT_REQUIRED engages.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risk_tier</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low, medium, high. Per the Modal Model risk hierarchy.</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auth_floor</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Minimum confirmation channel strength. Defaults derived from risk_tier per Section 5 of the Modal Model.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reversibility_window_seconds</w:t>
            </w:r>
          </w:p>
        </w:tc>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2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Undo window length if the commitment is reversible. Used by the autonomy engine.</w:t>
            </w:r>
          </w:p>
        </w:tc>
      </w:tr>
    </w:tbl>
    <w:p>
      <w:pPr>
        <w:pStyle w:val="Heading3"/>
        <w:spacing w:after="120" w:before="220"/>
      </w:pPr>
      <w:r>
        <w:rPr>
          <w:rFonts w:ascii="Arial" w:cs="Arial" w:eastAsia="Arial" w:hAnsi="Arial"/>
          <w:b/>
          <w:bCs/>
          <w:sz w:val="23"/>
          <w:szCs w:val="23"/>
        </w:rPr>
        <w:t xml:space="preserve">4.7 Domain &amp; Assistant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100"/>
        <w:gridCol w:w="4360"/>
      </w:tblGrid>
      <w:tr>
        <w:trPr>
          <w:tblHeader/>
        </w:trPr>
        <w:tc>
          <w:tcPr>
            <w:tcW w:type="dxa" w:w="2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3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domain</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Top-level domain, e.g., food, mobility, health, finance.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sub_domain</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string</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Refinement, e.g., delivery, dine-in.</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assistant_compatible</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Assistant IDs</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Assistant lenses permitted to surface this tool.</w:t>
            </w:r>
          </w:p>
        </w:tc>
      </w:tr>
    </w:tbl>
    <w:p>
      <w:pPr>
        <w:pStyle w:val="Heading3"/>
        <w:spacing w:after="120" w:before="220"/>
      </w:pPr>
      <w:r>
        <w:rPr>
          <w:rFonts w:ascii="Arial" w:cs="Arial" w:eastAsia="Arial" w:hAnsi="Arial"/>
          <w:b/>
          <w:bCs/>
          <w:sz w:val="23"/>
          <w:szCs w:val="23"/>
        </w:rPr>
        <w:t xml:space="preserve">4.8 Locale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100"/>
        <w:gridCol w:w="3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9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3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supported_locales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BCP-47</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Locales the partner provides usable content for. JBIQ enforces match before invocation.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voice_renderable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boolean</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Whether the canonical primitive can render via voice for this tool. False excludes from voice-only surfaces.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feature_phone_renderable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boolean</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Whether USSD/IVR can render. Per the Memory Model surface matrix.</w:t>
            </w:r>
          </w:p>
        </w:tc>
      </w:tr>
    </w:tbl>
    <w:p>
      <w:pPr>
        <w:pStyle w:val="Heading3"/>
        <w:spacing w:after="120" w:before="220"/>
      </w:pPr>
      <w:r>
        <w:rPr>
          <w:rFonts w:ascii="Arial" w:cs="Arial" w:eastAsia="Arial" w:hAnsi="Arial"/>
          <w:b/>
          <w:bCs/>
          <w:sz w:val="23"/>
          <w:szCs w:val="23"/>
        </w:rPr>
        <w:t xml:space="preserve">4.9 Memory &amp;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100"/>
        <w:gridCol w:w="41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signals_consumed</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signal IDs</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Memory signals this tool reads. JBIQ enforces consent gating per the Memory Model.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signals_produced</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 of signal IDs</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Memory signals reinforced on success. Mediated by JBIQ; never written directly by partner.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autonomy_eligible</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boolean</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Whether autonomy progression applies to this tool.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autonomy_max_level</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integer 0–3</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Per the Memory Model autonomy levels. Hard ceiling regardless of user behaviour.</w:t>
            </w:r>
          </w:p>
        </w:tc>
      </w:tr>
    </w:tbl>
    <w:p>
      <w:pPr>
        <w:pStyle w:val="Heading3"/>
        <w:spacing w:after="120" w:before="220"/>
      </w:pPr>
      <w:r>
        <w:rPr>
          <w:rFonts w:ascii="Arial" w:cs="Arial" w:eastAsia="Arial" w:hAnsi="Arial"/>
          <w:b/>
          <w:bCs/>
          <w:sz w:val="23"/>
          <w:szCs w:val="23"/>
        </w:rPr>
        <w:t xml:space="preserve">4.10 Reliability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100"/>
        <w:gridCol w:w="41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4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sla.p50_latency_ms</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Used by the Conversation Director for timeout planning.</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sla.p99_latency_ms</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Repeated breach triggers degraded mode for this tool.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sla.availability</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float [0,1]</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Target uptime. Below threshold triggers fallback chain.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fallback_tool_ids</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array</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Other registered tools serving the same canonical intent, in fallback order.</w:t>
            </w:r>
          </w:p>
        </w:tc>
      </w:tr>
    </w:tbl>
    <w:p>
      <w:pPr>
        <w:pStyle w:val="Heading3"/>
        <w:spacing w:after="120" w:before="220"/>
      </w:pPr>
      <w:r>
        <w:rPr>
          <w:rFonts w:ascii="Arial" w:cs="Arial" w:eastAsia="Arial" w:hAnsi="Arial"/>
          <w:b/>
          <w:bCs/>
          <w:sz w:val="23"/>
          <w:szCs w:val="23"/>
        </w:rPr>
        <w:t xml:space="preserve">4.11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100"/>
        <w:gridCol w:w="3860"/>
      </w:tblGrid>
      <w:tr>
        <w:trPr>
          <w:tblHeader/>
        </w:trPr>
        <w:tc>
          <w:tcPr>
            <w:tcW w:type="dxa" w:w="2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11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w:t>
            </w:r>
          </w:p>
        </w:tc>
        <w:tc>
          <w:tcPr>
            <w:tcW w:type="dxa" w:w="38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Semantics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data_residency</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Per DPDP. Must be in for tools serving the Indian market.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data_retention_days</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integer</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Partner-side session data retention. JBIQ enforces deletion propagation.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sensitive_data_classification</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enum</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none, pii, financial, health. Triggers Compliance Ledger enhanced logging where non-none.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dpdp_consent_required</w:t>
            </w:r>
          </w:p>
        </w:tc>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boolean</w:t>
            </w:r>
          </w:p>
        </w:tc>
        <w:tc>
          <w:tcPr>
            <w:tcW w:type="dxa" w:w="1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Yes</w:t>
            </w:r>
          </w:p>
        </w:tc>
        <w:tc>
          <w:tcPr>
            <w:tcW w:type="dxa" w:w="38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Whether explicit consent prompt is required before first invocation.</w:t>
            </w:r>
          </w:p>
        </w:tc>
      </w:tr>
    </w:tbl>
    <w:p>
      <w:pPr>
        <w:pStyle w:val="Heading1"/>
        <w:spacing w:after="200" w:before="360"/>
      </w:pPr>
      <w:r>
        <w:rPr>
          <w:rFonts w:ascii="Arial" w:cs="Arial" w:eastAsia="Arial" w:hAnsi="Arial"/>
          <w:b/>
          <w:bCs/>
          <w:sz w:val="32"/>
          <w:szCs w:val="32"/>
        </w:rPr>
        <w:t xml:space="preserve">5. Adapter DSL</w:t>
      </w:r>
    </w:p>
    <w:p>
      <w:pPr>
        <w:spacing w:after="120"/>
      </w:pPr>
      <w:r>
        <w:rPr>
          <w:rFonts w:ascii="Arial" w:cs="Arial" w:eastAsia="Arial" w:hAnsi="Arial"/>
          <w:sz w:val="22"/>
          <w:szCs w:val="22"/>
        </w:rPr>
        <w:t xml:space="preserve">The declarative adapter DSL lets a partner express the transformation from their raw response into the canonical primitive schema without writing executable code.</w:t>
      </w:r>
    </w:p>
    <w:p>
      <w:pPr>
        <w:pStyle w:val="Heading3"/>
        <w:spacing w:after="120" w:before="220"/>
      </w:pPr>
      <w:r>
        <w:rPr>
          <w:rFonts w:ascii="Arial" w:cs="Arial" w:eastAsia="Arial" w:hAnsi="Arial"/>
          <w:b/>
          <w:bCs/>
          <w:sz w:val="23"/>
          <w:szCs w:val="23"/>
        </w:rPr>
        <w:t xml:space="preserve">5.1 Capabilities</w:t>
      </w:r>
    </w:p>
    <w:p>
      <w:pPr>
        <w:pStyle w:val="ListParagraph"/>
        <w:numPr>
          <w:ilvl w:val="0"/>
          <w:numId w:val="2"/>
        </w:numPr>
        <w:spacing w:after="80"/>
      </w:pPr>
      <w:r>
        <w:rPr>
          <w:rFonts w:ascii="Arial" w:cs="Arial" w:eastAsia="Arial" w:hAnsi="Arial"/>
          <w:sz w:val="22"/>
          <w:szCs w:val="22"/>
        </w:rPr>
        <w:t xml:space="preserve">JSONPath expressions for source field selection</w:t>
      </w:r>
    </w:p>
    <w:p>
      <w:pPr>
        <w:pStyle w:val="ListParagraph"/>
        <w:numPr>
          <w:ilvl w:val="0"/>
          <w:numId w:val="2"/>
        </w:numPr>
        <w:spacing w:after="80"/>
      </w:pPr>
      <w:r>
        <w:rPr>
          <w:rFonts w:ascii="Arial" w:cs="Arial" w:eastAsia="Arial" w:hAnsi="Arial"/>
          <w:sz w:val="22"/>
          <w:szCs w:val="22"/>
        </w:rPr>
        <w:t xml:space="preserve">A bounded transform vocabulary: format, concat, default, conditional, localise, currency, distance, datetime</w:t>
      </w:r>
    </w:p>
    <w:p>
      <w:pPr>
        <w:pStyle w:val="ListParagraph"/>
        <w:numPr>
          <w:ilvl w:val="0"/>
          <w:numId w:val="2"/>
        </w:numPr>
        <w:spacing w:after="80"/>
      </w:pPr>
      <w:r>
        <w:rPr>
          <w:rFonts w:ascii="Arial" w:cs="Arial" w:eastAsia="Arial" w:hAnsi="Arial"/>
          <w:sz w:val="22"/>
          <w:szCs w:val="22"/>
        </w:rPr>
        <w:t xml:space="preserve">Output is always a primitive schema, schema-validated at registry time</w:t>
      </w:r>
    </w:p>
    <w:p>
      <w:pPr>
        <w:pStyle w:val="ListParagraph"/>
        <w:numPr>
          <w:ilvl w:val="0"/>
          <w:numId w:val="2"/>
        </w:numPr>
        <w:spacing w:after="80"/>
      </w:pPr>
      <w:r>
        <w:rPr>
          <w:rFonts w:ascii="Arial" w:cs="Arial" w:eastAsia="Arial" w:hAnsi="Arial"/>
          <w:sz w:val="22"/>
          <w:szCs w:val="22"/>
        </w:rPr>
        <w:t xml:space="preserve">No executable code, no embedded scripting, no HTTP calls within the adapter</w:t>
      </w:r>
    </w:p>
    <w:p>
      <w:pPr>
        <w:pStyle w:val="ListParagraph"/>
        <w:numPr>
          <w:ilvl w:val="0"/>
          <w:numId w:val="2"/>
        </w:numPr>
        <w:spacing w:after="80"/>
      </w:pPr>
      <w:r>
        <w:rPr>
          <w:rFonts w:ascii="Arial" w:cs="Arial" w:eastAsia="Arial" w:hAnsi="Arial"/>
          <w:sz w:val="22"/>
          <w:szCs w:val="22"/>
        </w:rPr>
        <w:t xml:space="preserve">Stateless: same input, same output, every time</w:t>
      </w:r>
    </w:p>
    <w:p>
      <w:pPr>
        <w:pStyle w:val="Heading3"/>
        <w:spacing w:after="120" w:before="220"/>
      </w:pPr>
      <w:r>
        <w:rPr>
          <w:rFonts w:ascii="Arial" w:cs="Arial" w:eastAsia="Arial" w:hAnsi="Arial"/>
          <w:b/>
          <w:bCs/>
          <w:sz w:val="23"/>
          <w:szCs w:val="23"/>
        </w:rPr>
        <w:t xml:space="preserve">5.2 Imperative Fallback</w:t>
      </w:r>
    </w:p>
    <w:p>
      <w:pPr>
        <w:spacing w:after="120"/>
      </w:pPr>
      <w:r>
        <w:rPr>
          <w:rFonts w:ascii="Arial" w:cs="Arial" w:eastAsia="Arial" w:hAnsi="Arial"/>
          <w:sz w:val="22"/>
          <w:szCs w:val="22"/>
        </w:rPr>
        <w:t xml:space="preserve">A partner whose response cannot be expressed declaratively may register an adapter_endpoint instead. JBIQ POSTs the raw partner response, the partner returns canonical primitive schema. Imperative adapters carry additional cost: extended latency budget, additional security review, mandatory sandbox period before promotion to verified.</w:t>
      </w:r>
    </w:p>
    <w:p>
      <w:pPr>
        <w:pStyle w:val="Heading3"/>
        <w:spacing w:after="120" w:before="220"/>
      </w:pPr>
      <w:r>
        <w:rPr>
          <w:rFonts w:ascii="Arial" w:cs="Arial" w:eastAsia="Arial" w:hAnsi="Arial"/>
          <w:b/>
          <w:bCs/>
          <w:sz w:val="23"/>
          <w:szCs w:val="23"/>
        </w:rPr>
        <w:t xml:space="preserve">5.3 Worked Adapter Fragment</w:t>
      </w:r>
    </w:p>
    <w:p>
      <w:pPr>
        <w:spacing w:after="120"/>
      </w:pPr>
      <w:r>
        <w:rPr>
          <w:rFonts w:ascii="Arial" w:cs="Arial" w:eastAsia="Arial" w:hAnsi="Arial"/>
          <w:sz w:val="22"/>
          <w:szCs w:val="22"/>
        </w:rPr>
        <w:t xml:space="preserve">For swiggy.searchRestaurants, a declarative adapter targeting DiscoveryView (carousel variant):</w:t>
      </w:r>
    </w:p>
    <w:p>
      <w:pPr>
        <w:spacing w:after="120"/>
      </w:pPr>
      <w:r>
        <w:rPr>
          <w:rFonts w:ascii="Arial" w:cs="Arial" w:eastAsia="Arial" w:hAnsi="Arial"/>
          <w:sz w:val="22"/>
          <w:szCs w:val="22"/>
        </w:rPr>
        <w:t xml:space="preserve">items_path: $.restaurants — field_map: title from $.name, subtitle from $.cuisineCsv, anchor.distance from $.distanceKm, badges from [$.rating styled as rating, $.etaMinutes styled as eta], image from $.bannerUrl, action of type drill targeting tool swiggy.getMenu with restaurantId from $.id.</w:t>
      </w:r>
    </w:p>
    <w:p>
      <w:pPr>
        <w:spacing w:after="160" w:before="80"/>
      </w:pPr>
      <w:r>
        <w:rPr>
          <w:rFonts w:ascii="Arial" w:cs="Arial" w:eastAsia="Arial" w:hAnsi="Arial"/>
          <w:i/>
          <w:iCs/>
          <w:sz w:val="22"/>
          <w:szCs w:val="22"/>
        </w:rPr>
        <w:t xml:space="preserve">The same shape, with different field paths, expresses apollo.searchDoctors and irctc.searchTrains. The primitive does not change. The system does not grow.</w:t>
      </w:r>
    </w:p>
    <w:p>
      <w:pPr>
        <w:pStyle w:val="Heading1"/>
        <w:spacing w:after="200" w:before="360"/>
      </w:pPr>
      <w:r>
        <w:rPr>
          <w:rFonts w:ascii="Arial" w:cs="Arial" w:eastAsia="Arial" w:hAnsi="Arial"/>
          <w:b/>
          <w:bCs/>
          <w:sz w:val="32"/>
          <w:szCs w:val="32"/>
        </w:rPr>
        <w:t xml:space="preserve">6. Registry Lifecycle</w:t>
      </w:r>
    </w:p>
    <w:p>
      <w:pPr>
        <w:spacing w:after="120"/>
      </w:pPr>
      <w:r>
        <w:rPr>
          <w:rFonts w:ascii="Arial" w:cs="Arial" w:eastAsia="Arial" w:hAnsi="Arial"/>
          <w:sz w:val="22"/>
          <w:szCs w:val="22"/>
        </w:rPr>
        <w:t xml:space="preserve">A manifest moves through six states. Transitions are gated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State</w:t>
            </w:r>
          </w:p>
        </w:tc>
        <w:tc>
          <w:tcPr>
            <w:tcW w:type="dxa" w:w="76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 and gates</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submitted</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Manifest received. Awaiting automated validation.</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validating</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Schema validation, signal registry checks, adapter spec validation, locale checks, compliance gates.</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sandbox</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Manual integration testing. Partner can invoke against synthetic users only. No production traffic.</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provisional</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Limited-traffic production. Eligible for cold-start exposure budget per Conflict Resolution Model.</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verified</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Full production. Eligible for autonomy reinforcement and full ranking signals.</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deprecated</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Newer version exists. Sunset window begins; existing flows complete.</w:t>
            </w:r>
          </w:p>
        </w:tc>
      </w:tr>
      <w:tr>
        <w:tc>
          <w:tcPr>
            <w:tcW w:type="dxa" w:w="1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revoked</w:t>
            </w:r>
          </w:p>
        </w:tc>
        <w:tc>
          <w:tcPr>
            <w:tcW w:type="dxa" w:w="7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Removed for invariant violation. Cannot be reinstated under the same tool_id.</w:t>
            </w:r>
          </w:p>
        </w:tc>
      </w:tr>
    </w:tbl>
    <w:p>
      <w:pPr>
        <w:spacing w:after="120"/>
      </w:pPr>
      <w:r>
        <w:rPr>
          <w:rFonts w:ascii="Arial" w:cs="Arial" w:eastAsia="Arial" w:hAnsi="Arial"/>
          <w:sz w:val="22"/>
          <w:szCs w:val="22"/>
        </w:rPr>
        <w:t xml:space="preserve">Versioning rule: in-place updates are permitted within tool_version semver minor bumps. Major bumps require new tool_id.</w:t>
      </w:r>
    </w:p>
    <w:p>
      <w:pPr>
        <w:pStyle w:val="Heading1"/>
        <w:spacing w:after="200" w:before="360"/>
      </w:pPr>
      <w:r>
        <w:rPr>
          <w:rFonts w:ascii="Arial" w:cs="Arial" w:eastAsia="Arial" w:hAnsi="Arial"/>
          <w:b/>
          <w:bCs/>
          <w:sz w:val="32"/>
          <w:szCs w:val="32"/>
        </w:rPr>
        <w:t xml:space="preserve">7. Worked Examples</w:t>
      </w:r>
    </w:p>
    <w:p>
      <w:pPr>
        <w:spacing w:after="120"/>
      </w:pPr>
      <w:r>
        <w:rPr>
          <w:rFonts w:ascii="Arial" w:cs="Arial" w:eastAsia="Arial" w:hAnsi="Arial"/>
          <w:sz w:val="22"/>
          <w:szCs w:val="22"/>
        </w:rPr>
        <w:t xml:space="preserve">The same primitive expressing distinct verticals demonstrates the scaling property.</w:t>
      </w:r>
    </w:p>
    <w:p>
      <w:pPr>
        <w:pStyle w:val="Heading3"/>
        <w:spacing w:after="120" w:before="220"/>
      </w:pPr>
      <w:r>
        <w:rPr>
          <w:rFonts w:ascii="Arial" w:cs="Arial" w:eastAsia="Arial" w:hAnsi="Arial"/>
          <w:b/>
          <w:bCs/>
          <w:sz w:val="23"/>
          <w:szCs w:val="23"/>
        </w:rPr>
        <w:t xml:space="preserve">7.1 swiggy.searchRestaurants</w:t>
      </w:r>
    </w:p>
    <w:p>
      <w:pPr>
        <w:pStyle w:val="ListParagraph"/>
        <w:numPr>
          <w:ilvl w:val="0"/>
          <w:numId w:val="2"/>
        </w:numPr>
        <w:spacing w:after="80"/>
      </w:pPr>
      <w:r>
        <w:rPr>
          <w:rFonts w:ascii="Arial" w:cs="Arial" w:eastAsia="Arial" w:hAnsi="Arial"/>
          <w:sz w:val="22"/>
          <w:szCs w:val="22"/>
        </w:rPr>
        <w:t xml:space="preserve">canonical_intent: discovery.place.food</w:t>
      </w:r>
    </w:p>
    <w:p>
      <w:pPr>
        <w:pStyle w:val="ListParagraph"/>
        <w:numPr>
          <w:ilvl w:val="0"/>
          <w:numId w:val="2"/>
        </w:numPr>
        <w:spacing w:after="80"/>
      </w:pPr>
      <w:r>
        <w:rPr>
          <w:rFonts w:ascii="Arial" w:cs="Arial" w:eastAsia="Arial" w:hAnsi="Arial"/>
          <w:sz w:val="22"/>
          <w:szCs w:val="22"/>
        </w:rPr>
        <w:t xml:space="preserve">primitive: DiscoveryView (carousel)</w:t>
      </w:r>
    </w:p>
    <w:p>
      <w:pPr>
        <w:pStyle w:val="ListParagraph"/>
        <w:numPr>
          <w:ilvl w:val="0"/>
          <w:numId w:val="2"/>
        </w:numPr>
        <w:spacing w:after="80"/>
      </w:pPr>
      <w:r>
        <w:rPr>
          <w:rFonts w:ascii="Arial" w:cs="Arial" w:eastAsia="Arial" w:hAnsi="Arial"/>
          <w:sz w:val="22"/>
          <w:szCs w:val="22"/>
        </w:rPr>
        <w:t xml:space="preserve">commitment_level: none</w:t>
      </w:r>
    </w:p>
    <w:p>
      <w:pPr>
        <w:pStyle w:val="ListParagraph"/>
        <w:numPr>
          <w:ilvl w:val="0"/>
          <w:numId w:val="2"/>
        </w:numPr>
        <w:spacing w:after="80"/>
      </w:pPr>
      <w:r>
        <w:rPr>
          <w:rFonts w:ascii="Arial" w:cs="Arial" w:eastAsia="Arial" w:hAnsi="Arial"/>
          <w:sz w:val="22"/>
          <w:szCs w:val="22"/>
        </w:rPr>
        <w:t xml:space="preserve">risk_tier: low</w:t>
      </w:r>
    </w:p>
    <w:p>
      <w:pPr>
        <w:pStyle w:val="ListParagraph"/>
        <w:numPr>
          <w:ilvl w:val="0"/>
          <w:numId w:val="2"/>
        </w:numPr>
        <w:spacing w:after="80"/>
      </w:pPr>
      <w:r>
        <w:rPr>
          <w:rFonts w:ascii="Arial" w:cs="Arial" w:eastAsia="Arial" w:hAnsi="Arial"/>
          <w:sz w:val="22"/>
          <w:szCs w:val="22"/>
        </w:rPr>
        <w:t xml:space="preserve">signals_required: [location]; signals_optional: [cuisine_preference, price_band, dietary]</w:t>
      </w:r>
    </w:p>
    <w:p>
      <w:pPr>
        <w:pStyle w:val="ListParagraph"/>
        <w:numPr>
          <w:ilvl w:val="0"/>
          <w:numId w:val="2"/>
        </w:numPr>
        <w:spacing w:after="80"/>
      </w:pPr>
      <w:r>
        <w:rPr>
          <w:rFonts w:ascii="Arial" w:cs="Arial" w:eastAsia="Arial" w:hAnsi="Arial"/>
          <w:sz w:val="22"/>
          <w:szCs w:val="22"/>
        </w:rPr>
        <w:t xml:space="preserve">autonomy_max_level: 2</w:t>
      </w:r>
    </w:p>
    <w:p>
      <w:pPr>
        <w:pStyle w:val="Heading3"/>
        <w:spacing w:after="120" w:before="220"/>
      </w:pPr>
      <w:r>
        <w:rPr>
          <w:rFonts w:ascii="Arial" w:cs="Arial" w:eastAsia="Arial" w:hAnsi="Arial"/>
          <w:b/>
          <w:bCs/>
          <w:sz w:val="23"/>
          <w:szCs w:val="23"/>
        </w:rPr>
        <w:t xml:space="preserve">7.2 apollo.searchDoctors</w:t>
      </w:r>
    </w:p>
    <w:p>
      <w:pPr>
        <w:pStyle w:val="ListParagraph"/>
        <w:numPr>
          <w:ilvl w:val="0"/>
          <w:numId w:val="2"/>
        </w:numPr>
        <w:spacing w:after="80"/>
      </w:pPr>
      <w:r>
        <w:rPr>
          <w:rFonts w:ascii="Arial" w:cs="Arial" w:eastAsia="Arial" w:hAnsi="Arial"/>
          <w:sz w:val="22"/>
          <w:szCs w:val="22"/>
        </w:rPr>
        <w:t xml:space="preserve">canonical_intent: discovery.place.service-provider</w:t>
      </w:r>
    </w:p>
    <w:p>
      <w:pPr>
        <w:pStyle w:val="ListParagraph"/>
        <w:numPr>
          <w:ilvl w:val="0"/>
          <w:numId w:val="2"/>
        </w:numPr>
        <w:spacing w:after="80"/>
      </w:pPr>
      <w:r>
        <w:rPr>
          <w:rFonts w:ascii="Arial" w:cs="Arial" w:eastAsia="Arial" w:hAnsi="Arial"/>
          <w:sz w:val="22"/>
          <w:szCs w:val="22"/>
        </w:rPr>
        <w:t xml:space="preserve">primitive: DiscoveryView (carousel)</w:t>
      </w:r>
    </w:p>
    <w:p>
      <w:pPr>
        <w:pStyle w:val="ListParagraph"/>
        <w:numPr>
          <w:ilvl w:val="0"/>
          <w:numId w:val="2"/>
        </w:numPr>
        <w:spacing w:after="80"/>
      </w:pPr>
      <w:r>
        <w:rPr>
          <w:rFonts w:ascii="Arial" w:cs="Arial" w:eastAsia="Arial" w:hAnsi="Arial"/>
          <w:sz w:val="22"/>
          <w:szCs w:val="22"/>
        </w:rPr>
        <w:t xml:space="preserve">commitment_level: none</w:t>
      </w:r>
    </w:p>
    <w:p>
      <w:pPr>
        <w:pStyle w:val="ListParagraph"/>
        <w:numPr>
          <w:ilvl w:val="0"/>
          <w:numId w:val="2"/>
        </w:numPr>
        <w:spacing w:after="80"/>
      </w:pPr>
      <w:r>
        <w:rPr>
          <w:rFonts w:ascii="Arial" w:cs="Arial" w:eastAsia="Arial" w:hAnsi="Arial"/>
          <w:sz w:val="22"/>
          <w:szCs w:val="22"/>
        </w:rPr>
        <w:t xml:space="preserve">risk_tier: low (no money committed at search)</w:t>
      </w:r>
    </w:p>
    <w:p>
      <w:pPr>
        <w:pStyle w:val="ListParagraph"/>
        <w:numPr>
          <w:ilvl w:val="0"/>
          <w:numId w:val="2"/>
        </w:numPr>
        <w:spacing w:after="80"/>
      </w:pPr>
      <w:r>
        <w:rPr>
          <w:rFonts w:ascii="Arial" w:cs="Arial" w:eastAsia="Arial" w:hAnsi="Arial"/>
          <w:sz w:val="22"/>
          <w:szCs w:val="22"/>
        </w:rPr>
        <w:t xml:space="preserve">signals_required: [location, specialty]; signals_optional: [insurance_provider, language_preference]</w:t>
      </w:r>
    </w:p>
    <w:p>
      <w:pPr>
        <w:pStyle w:val="ListParagraph"/>
        <w:numPr>
          <w:ilvl w:val="0"/>
          <w:numId w:val="2"/>
        </w:numPr>
        <w:spacing w:after="80"/>
      </w:pPr>
      <w:r>
        <w:rPr>
          <w:rFonts w:ascii="Arial" w:cs="Arial" w:eastAsia="Arial" w:hAnsi="Arial"/>
          <w:sz w:val="22"/>
          <w:szCs w:val="22"/>
        </w:rPr>
        <w:t xml:space="preserve">autonomy_max_level: 1 (health domain conservative ceiling)</w:t>
      </w:r>
    </w:p>
    <w:p>
      <w:pPr>
        <w:pStyle w:val="Heading3"/>
        <w:spacing w:after="120" w:before="220"/>
      </w:pPr>
      <w:r>
        <w:rPr>
          <w:rFonts w:ascii="Arial" w:cs="Arial" w:eastAsia="Arial" w:hAnsi="Arial"/>
          <w:b/>
          <w:bCs/>
          <w:sz w:val="23"/>
          <w:szCs w:val="23"/>
        </w:rPr>
        <w:t xml:space="preserve">7.3 irctc.searchTrains</w:t>
      </w:r>
    </w:p>
    <w:p>
      <w:pPr>
        <w:pStyle w:val="ListParagraph"/>
        <w:numPr>
          <w:ilvl w:val="0"/>
          <w:numId w:val="2"/>
        </w:numPr>
        <w:spacing w:after="80"/>
      </w:pPr>
      <w:r>
        <w:rPr>
          <w:rFonts w:ascii="Arial" w:cs="Arial" w:eastAsia="Arial" w:hAnsi="Arial"/>
          <w:sz w:val="22"/>
          <w:szCs w:val="22"/>
        </w:rPr>
        <w:t xml:space="preserve">canonical_intent: discovery.timeslot.travel</w:t>
      </w:r>
    </w:p>
    <w:p>
      <w:pPr>
        <w:pStyle w:val="ListParagraph"/>
        <w:numPr>
          <w:ilvl w:val="0"/>
          <w:numId w:val="2"/>
        </w:numPr>
        <w:spacing w:after="80"/>
      </w:pPr>
      <w:r>
        <w:rPr>
          <w:rFonts w:ascii="Arial" w:cs="Arial" w:eastAsia="Arial" w:hAnsi="Arial"/>
          <w:sz w:val="22"/>
          <w:szCs w:val="22"/>
        </w:rPr>
        <w:t xml:space="preserve">primitive: DiscoveryView (list)</w:t>
      </w:r>
    </w:p>
    <w:p>
      <w:pPr>
        <w:pStyle w:val="ListParagraph"/>
        <w:numPr>
          <w:ilvl w:val="0"/>
          <w:numId w:val="2"/>
        </w:numPr>
        <w:spacing w:after="80"/>
      </w:pPr>
      <w:r>
        <w:rPr>
          <w:rFonts w:ascii="Arial" w:cs="Arial" w:eastAsia="Arial" w:hAnsi="Arial"/>
          <w:sz w:val="22"/>
          <w:szCs w:val="22"/>
        </w:rPr>
        <w:t xml:space="preserve">commitment_level: none</w:t>
      </w:r>
    </w:p>
    <w:p>
      <w:pPr>
        <w:pStyle w:val="ListParagraph"/>
        <w:numPr>
          <w:ilvl w:val="0"/>
          <w:numId w:val="2"/>
        </w:numPr>
        <w:spacing w:after="80"/>
      </w:pPr>
      <w:r>
        <w:rPr>
          <w:rFonts w:ascii="Arial" w:cs="Arial" w:eastAsia="Arial" w:hAnsi="Arial"/>
          <w:sz w:val="22"/>
          <w:szCs w:val="22"/>
        </w:rPr>
        <w:t xml:space="preserve">risk_tier: low</w:t>
      </w:r>
    </w:p>
    <w:p>
      <w:pPr>
        <w:pStyle w:val="ListParagraph"/>
        <w:numPr>
          <w:ilvl w:val="0"/>
          <w:numId w:val="2"/>
        </w:numPr>
        <w:spacing w:after="80"/>
      </w:pPr>
      <w:r>
        <w:rPr>
          <w:rFonts w:ascii="Arial" w:cs="Arial" w:eastAsia="Arial" w:hAnsi="Arial"/>
          <w:sz w:val="22"/>
          <w:szCs w:val="22"/>
        </w:rPr>
        <w:t xml:space="preserve">signals_required: [origin, destination, date]; signals_optional: [class_preference, quota]</w:t>
      </w:r>
    </w:p>
    <w:p>
      <w:pPr>
        <w:pStyle w:val="ListParagraph"/>
        <w:numPr>
          <w:ilvl w:val="0"/>
          <w:numId w:val="2"/>
        </w:numPr>
        <w:spacing w:after="80"/>
      </w:pPr>
      <w:r>
        <w:rPr>
          <w:rFonts w:ascii="Arial" w:cs="Arial" w:eastAsia="Arial" w:hAnsi="Arial"/>
          <w:sz w:val="22"/>
          <w:szCs w:val="22"/>
        </w:rPr>
        <w:t xml:space="preserve">autonomy_max_level: 2</w:t>
      </w:r>
    </w:p>
    <w:p>
      <w:pPr>
        <w:pStyle w:val="Heading3"/>
        <w:spacing w:after="120" w:before="220"/>
      </w:pPr>
      <w:r>
        <w:rPr>
          <w:rFonts w:ascii="Arial" w:cs="Arial" w:eastAsia="Arial" w:hAnsi="Arial"/>
          <w:b/>
          <w:bCs/>
          <w:sz w:val="23"/>
          <w:szCs w:val="23"/>
        </w:rPr>
        <w:t xml:space="preserve">7.4 swiggy.placeOrder (commitment example)</w:t>
      </w:r>
    </w:p>
    <w:p>
      <w:pPr>
        <w:pStyle w:val="ListParagraph"/>
        <w:numPr>
          <w:ilvl w:val="0"/>
          <w:numId w:val="2"/>
        </w:numPr>
        <w:spacing w:after="80"/>
      </w:pPr>
      <w:r>
        <w:rPr>
          <w:rFonts w:ascii="Arial" w:cs="Arial" w:eastAsia="Arial" w:hAnsi="Arial"/>
          <w:sz w:val="22"/>
          <w:szCs w:val="22"/>
        </w:rPr>
        <w:t xml:space="preserve">canonical_intent: transaction.commit.food</w:t>
      </w:r>
    </w:p>
    <w:p>
      <w:pPr>
        <w:pStyle w:val="ListParagraph"/>
        <w:numPr>
          <w:ilvl w:val="0"/>
          <w:numId w:val="2"/>
        </w:numPr>
        <w:spacing w:after="80"/>
      </w:pPr>
      <w:r>
        <w:rPr>
          <w:rFonts w:ascii="Arial" w:cs="Arial" w:eastAsia="Arial" w:hAnsi="Arial"/>
          <w:sz w:val="22"/>
          <w:szCs w:val="22"/>
        </w:rPr>
        <w:t xml:space="preserve">primitive: CommitmentSummaryView</w:t>
      </w:r>
    </w:p>
    <w:p>
      <w:pPr>
        <w:pStyle w:val="ListParagraph"/>
        <w:numPr>
          <w:ilvl w:val="0"/>
          <w:numId w:val="2"/>
        </w:numPr>
        <w:spacing w:after="80"/>
      </w:pPr>
      <w:r>
        <w:rPr>
          <w:rFonts w:ascii="Arial" w:cs="Arial" w:eastAsia="Arial" w:hAnsi="Arial"/>
          <w:sz w:val="22"/>
          <w:szCs w:val="22"/>
        </w:rPr>
        <w:t xml:space="preserve">commitment_level: hard-financial</w:t>
      </w:r>
    </w:p>
    <w:p>
      <w:pPr>
        <w:pStyle w:val="ListParagraph"/>
        <w:numPr>
          <w:ilvl w:val="0"/>
          <w:numId w:val="2"/>
        </w:numPr>
        <w:spacing w:after="80"/>
      </w:pPr>
      <w:r>
        <w:rPr>
          <w:rFonts w:ascii="Arial" w:cs="Arial" w:eastAsia="Arial" w:hAnsi="Arial"/>
          <w:sz w:val="22"/>
          <w:szCs w:val="22"/>
        </w:rPr>
        <w:t xml:space="preserve">risk_tier: high</w:t>
      </w:r>
    </w:p>
    <w:p>
      <w:pPr>
        <w:pStyle w:val="ListParagraph"/>
        <w:numPr>
          <w:ilvl w:val="0"/>
          <w:numId w:val="2"/>
        </w:numPr>
        <w:spacing w:after="80"/>
      </w:pPr>
      <w:r>
        <w:rPr>
          <w:rFonts w:ascii="Arial" w:cs="Arial" w:eastAsia="Arial" w:hAnsi="Arial"/>
          <w:sz w:val="22"/>
          <w:szCs w:val="22"/>
        </w:rPr>
        <w:t xml:space="preserve">auth_floor: in-app authenticated confirm or stronger</w:t>
      </w:r>
    </w:p>
    <w:p>
      <w:pPr>
        <w:pStyle w:val="ListParagraph"/>
        <w:numPr>
          <w:ilvl w:val="0"/>
          <w:numId w:val="2"/>
        </w:numPr>
        <w:spacing w:after="80"/>
      </w:pPr>
      <w:r>
        <w:rPr>
          <w:rFonts w:ascii="Arial" w:cs="Arial" w:eastAsia="Arial" w:hAnsi="Arial"/>
          <w:sz w:val="22"/>
          <w:szCs w:val="22"/>
        </w:rPr>
        <w:t xml:space="preserve">JBIQ runs the canonical CommitmentSummaryView, brokers UPI through the JBIQ payment broker, captures provenance to the Compliance Ledger, then dispatches the partner execute call with a tokenised payment reference. The partner never sees the UPI PIN.</w:t>
      </w:r>
    </w:p>
    <w:p>
      <w:pPr>
        <w:pStyle w:val="Heading1"/>
        <w:spacing w:after="200" w:before="360"/>
      </w:pPr>
      <w:r>
        <w:rPr>
          <w:rFonts w:ascii="Arial" w:cs="Arial" w:eastAsia="Arial" w:hAnsi="Arial"/>
          <w:b/>
          <w:bCs/>
          <w:sz w:val="32"/>
          <w:szCs w:val="32"/>
        </w:rPr>
        <w:t xml:space="preserve">8.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Bad pattern</w:t>
            </w:r>
          </w:p>
        </w:tc>
        <w:tc>
          <w:tcPr>
            <w:tcW w:type="dxa" w:w="3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Why it violates</w:t>
            </w:r>
          </w:p>
        </w:tc>
        <w:tc>
          <w:tcPr>
            <w:tcW w:type="dxa" w:w="3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Correct pattern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Embedding partner JSX or HTML in adapter output</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the canonical primitive contract</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Declare against a canonical primitive; let JBIQ render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Showing the partner’s checkout inside JBIQ</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commitment authority (Modal Model invariant 3)</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Declare commitment_level; let JBIQ broker the commitment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Hardcoded English strings in display fields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locale invariants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 localised string maps for every user-visible field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Omitting signals_required</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fires when context is insufficient</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Declare every consumed signal explicitly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Partner-side memory write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Memory Model mutation rules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Declare signals_produced; JBIQ mediates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branding as surface header</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branding-as-content rule</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 attribution glyph and surface_text only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Storing OTP/PIN in adapter logs</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RBI and Memory Model 3</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Tokenise; never persist credentials anywhere in the partner path</w:t>
            </w:r>
          </w:p>
        </w:tc>
      </w:tr>
    </w:tbl>
    <w:p>
      <w:pPr>
        <w:pStyle w:val="Heading1"/>
        <w:spacing w:after="200" w:before="360"/>
      </w:pPr>
      <w:r>
        <w:rPr>
          <w:rFonts w:ascii="Arial" w:cs="Arial" w:eastAsia="Arial" w:hAnsi="Arial"/>
          <w:b/>
          <w:bCs/>
          <w:sz w:val="32"/>
          <w:szCs w:val="32"/>
        </w:rPr>
        <w:t xml:space="preserve">9. Degraded Mode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Condition</w:t>
            </w:r>
          </w:p>
        </w:tc>
        <w:tc>
          <w:tcPr>
            <w:tcW w:type="dxa" w:w="6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 behaviour</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MCP unreachable</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Engage fallback_tool_ids in declared order. If none, surface fallback message. Never silent failure.</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Repeated SLA breach (p99 exceeded over rolling window)</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moves to provisional; reduced ranking weight; partner notified; fallback chain engaged.</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Adapter validation failure post-deployment</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moves to provisional with sandbox-only traffic until partner publishes a fix.</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Compliance Ledger write failure during partner action</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Action frozen per Memory Model 11a. Partner notified.</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Locale mismatch at invocation time</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not invoked. Alternative tool from candidate set tried per Conflict Resolution Model.</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Sensitive data classification mismatch (partner sends data exceeding declared class)</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Action frozen; tool moved to revoked pending review.</w:t>
            </w:r>
          </w:p>
        </w:tc>
      </w:tr>
    </w:tbl>
    <w:p>
      <w:pPr>
        <w:pStyle w:val="Heading1"/>
        <w:spacing w:after="200" w:before="360"/>
      </w:pPr>
      <w:r>
        <w:rPr>
          <w:rFonts w:ascii="Arial" w:cs="Arial" w:eastAsia="Arial" w:hAnsi="Arial"/>
          <w:b/>
          <w:bCs/>
          <w:sz w:val="32"/>
          <w:szCs w:val="32"/>
        </w:rPr>
        <w:t xml:space="preserve">10. Relationship to Governing Models</w:t>
      </w:r>
    </w:p>
    <w:p>
      <w:pPr>
        <w:spacing w:after="120"/>
      </w:pPr>
      <w:r>
        <w:rPr>
          <w:rFonts w:ascii="Arial" w:cs="Arial" w:eastAsia="Arial" w:hAnsi="Arial"/>
          <w:sz w:val="22"/>
          <w:szCs w:val="22"/>
        </w:rPr>
        <w:t xml:space="preserve">This document does not redefine behaviour, memory, or orchestration. It declares the partner-side contract that submits to those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Model</w:t>
            </w:r>
          </w:p>
        </w:tc>
        <w:tc>
          <w:tcPr>
            <w:tcW w:type="dxa" w:w="67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Relationship</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Interaction Model (Core)</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Defines canonical states. This document subordinates all partner tool invocations to those states. No new states are introduced.</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Conversation History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Defines memory layers, consent, and autonomy. This document declares partner signal consumption and production against that schema.</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Integrated Modal Experience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Defines confirmation hierarchy and commitment authority. This document declares risk_tier and auth_floor that escalate per the Modal Model.</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Assistant &amp; Tools Experience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Defines the internal tool contract. This document extends that contract to external partners with the additional manifest layer.</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Multi-Partner Conflict Resolution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Operates on the candidate set produced by the registry. This document defines candidate eligibility; that document defines candidate ranking.</w:t>
            </w:r>
          </w:p>
        </w:tc>
      </w:tr>
    </w:tbl>
    <w:p>
      <w:pPr>
        <w:pStyle w:val="Heading1"/>
        <w:spacing w:after="200" w:before="360"/>
      </w:pPr>
      <w:r>
        <w:rPr>
          <w:rFonts w:ascii="Arial" w:cs="Arial" w:eastAsia="Arial" w:hAnsi="Arial"/>
          <w:b/>
          <w:bCs/>
          <w:sz w:val="32"/>
          <w:szCs w:val="32"/>
        </w:rPr>
        <w:t xml:space="preserve">11. Acceptance Criteria</w:t>
      </w:r>
    </w:p>
    <w:p>
      <w:pPr>
        <w:spacing w:after="120"/>
      </w:pPr>
      <w:r>
        <w:rPr>
          <w:rFonts w:ascii="Arial" w:cs="Arial" w:eastAsia="Arial" w:hAnsi="Arial"/>
          <w:sz w:val="22"/>
          <w:szCs w:val="22"/>
        </w:rPr>
        <w:t xml:space="preserve">A tool may ship as verified only when all the following hold.</w:t>
      </w:r>
    </w:p>
    <w:p>
      <w:pPr>
        <w:pStyle w:val="ListParagraph"/>
        <w:numPr>
          <w:ilvl w:val="0"/>
          <w:numId w:val="3"/>
        </w:numPr>
        <w:spacing w:after="80"/>
      </w:pPr>
      <w:r>
        <w:rPr>
          <w:rFonts w:ascii="Arial" w:cs="Arial" w:eastAsia="Arial" w:hAnsi="Arial"/>
          <w:sz w:val="22"/>
          <w:szCs w:val="22"/>
        </w:rPr>
        <w:t xml:space="preserve">All required manifest fields present and validated.</w:t>
      </w:r>
    </w:p>
    <w:p>
      <w:pPr>
        <w:pStyle w:val="ListParagraph"/>
        <w:numPr>
          <w:ilvl w:val="0"/>
          <w:numId w:val="3"/>
        </w:numPr>
        <w:spacing w:after="80"/>
      </w:pPr>
      <w:r>
        <w:rPr>
          <w:rFonts w:ascii="Arial" w:cs="Arial" w:eastAsia="Arial" w:hAnsi="Arial"/>
          <w:sz w:val="22"/>
          <w:szCs w:val="22"/>
        </w:rPr>
        <w:t xml:space="preserve">Adapter is declarative, or imperative adapter has passed the extended sandbox period.</w:t>
      </w:r>
    </w:p>
    <w:p>
      <w:pPr>
        <w:pStyle w:val="ListParagraph"/>
        <w:numPr>
          <w:ilvl w:val="0"/>
          <w:numId w:val="3"/>
        </w:numPr>
        <w:spacing w:after="80"/>
      </w:pPr>
      <w:r>
        <w:rPr>
          <w:rFonts w:ascii="Arial" w:cs="Arial" w:eastAsia="Arial" w:hAnsi="Arial"/>
          <w:sz w:val="22"/>
          <w:szCs w:val="22"/>
        </w:rPr>
        <w:t xml:space="preserve">Successful sandbox completions per primitive type at the declared SLA.</w:t>
      </w:r>
    </w:p>
    <w:p>
      <w:pPr>
        <w:pStyle w:val="ListParagraph"/>
        <w:numPr>
          <w:ilvl w:val="0"/>
          <w:numId w:val="3"/>
        </w:numPr>
        <w:spacing w:after="80"/>
      </w:pPr>
      <w:r>
        <w:rPr>
          <w:rFonts w:ascii="Arial" w:cs="Arial" w:eastAsia="Arial" w:hAnsi="Arial"/>
          <w:sz w:val="22"/>
          <w:szCs w:val="22"/>
        </w:rPr>
        <w:t xml:space="preserve">Accessibility checks passed for every declared locale and surface.</w:t>
      </w:r>
    </w:p>
    <w:p>
      <w:pPr>
        <w:pStyle w:val="ListParagraph"/>
        <w:numPr>
          <w:ilvl w:val="0"/>
          <w:numId w:val="3"/>
        </w:numPr>
        <w:spacing w:after="80"/>
      </w:pPr>
      <w:r>
        <w:rPr>
          <w:rFonts w:ascii="Arial" w:cs="Arial" w:eastAsia="Arial" w:hAnsi="Arial"/>
          <w:sz w:val="22"/>
          <w:szCs w:val="22"/>
        </w:rPr>
        <w:t xml:space="preserve">Compliance review passed for the declared sensitive_data_classification.</w:t>
      </w:r>
    </w:p>
    <w:p>
      <w:pPr>
        <w:pStyle w:val="ListParagraph"/>
        <w:numPr>
          <w:ilvl w:val="0"/>
          <w:numId w:val="3"/>
        </w:numPr>
        <w:spacing w:after="80"/>
      </w:pPr>
      <w:r>
        <w:rPr>
          <w:rFonts w:ascii="Arial" w:cs="Arial" w:eastAsia="Arial" w:hAnsi="Arial"/>
          <w:sz w:val="22"/>
          <w:szCs w:val="22"/>
        </w:rPr>
        <w:t xml:space="preserve">Localisation review passed for every declared locale.</w:t>
      </w:r>
    </w:p>
    <w:p>
      <w:pPr>
        <w:pStyle w:val="ListParagraph"/>
        <w:numPr>
          <w:ilvl w:val="0"/>
          <w:numId w:val="3"/>
        </w:numPr>
        <w:spacing w:after="80"/>
      </w:pPr>
      <w:r>
        <w:rPr>
          <w:rFonts w:ascii="Arial" w:cs="Arial" w:eastAsia="Arial" w:hAnsi="Arial"/>
          <w:sz w:val="22"/>
          <w:szCs w:val="22"/>
        </w:rPr>
        <w:t xml:space="preserve">Failure mode review including fallback chain, degraded mode, and revocation procedure.</w:t>
      </w:r>
    </w:p>
    <w:p>
      <w:pPr>
        <w:pStyle w:val="ListParagraph"/>
        <w:numPr>
          <w:ilvl w:val="0"/>
          <w:numId w:val="3"/>
        </w:numPr>
        <w:spacing w:after="80"/>
      </w:pPr>
      <w:r>
        <w:rPr>
          <w:rFonts w:ascii="Arial" w:cs="Arial" w:eastAsia="Arial" w:hAnsi="Arial"/>
          <w:sz w:val="22"/>
          <w:szCs w:val="22"/>
        </w:rPr>
        <w:t xml:space="preserve">Provenance logging end-to-end verified through the Compliance Ledger.</w:t>
      </w:r>
    </w:p>
    <w:p>
      <w:pPr>
        <w:pStyle w:val="Heading1"/>
        <w:spacing w:after="200" w:before="360"/>
      </w:pPr>
      <w:r>
        <w:rPr>
          <w:rFonts w:ascii="Arial" w:cs="Arial" w:eastAsia="Arial" w:hAnsi="Arial"/>
          <w:b/>
          <w:bCs/>
          <w:sz w:val="32"/>
          <w:szCs w:val="32"/>
        </w:rPr>
        <w:t xml:space="preserve">12. Open Questions</w:t>
      </w:r>
    </w:p>
    <w:p>
      <w:pPr>
        <w:pStyle w:val="ListParagraph"/>
        <w:numPr>
          <w:ilvl w:val="0"/>
          <w:numId w:val="2"/>
        </w:numPr>
        <w:spacing w:after="80"/>
      </w:pPr>
      <w:r>
        <w:rPr>
          <w:rFonts w:ascii="Arial" w:cs="Arial" w:eastAsia="Arial" w:hAnsi="Arial"/>
          <w:sz w:val="22"/>
          <w:szCs w:val="22"/>
        </w:rPr>
        <w:t xml:space="preserve">Adapter DSL standardisation: extend JSONPath with a transform vocabulary, adopt JSONata, or specify a new compact mapping language?</w:t>
      </w:r>
    </w:p>
    <w:p>
      <w:pPr>
        <w:pStyle w:val="ListParagraph"/>
        <w:numPr>
          <w:ilvl w:val="0"/>
          <w:numId w:val="2"/>
        </w:numPr>
        <w:spacing w:after="80"/>
      </w:pPr>
      <w:r>
        <w:rPr>
          <w:rFonts w:ascii="Arial" w:cs="Arial" w:eastAsia="Arial" w:hAnsi="Arial"/>
          <w:sz w:val="22"/>
          <w:szCs w:val="22"/>
        </w:rPr>
        <w:t xml:space="preserve">Partner-supplied imagery: how much custom imagery beyond the badge logo, and where is it permitted to render?</w:t>
      </w:r>
    </w:p>
    <w:p>
      <w:pPr>
        <w:pStyle w:val="ListParagraph"/>
        <w:numPr>
          <w:ilvl w:val="0"/>
          <w:numId w:val="2"/>
        </w:numPr>
        <w:spacing w:after="80"/>
      </w:pPr>
      <w:r>
        <w:rPr>
          <w:rFonts w:ascii="Arial" w:cs="Arial" w:eastAsia="Arial" w:hAnsi="Arial"/>
          <w:sz w:val="22"/>
          <w:szCs w:val="22"/>
        </w:rPr>
        <w:t xml:space="preserve">Cold-start ranking: how is a freshly-verified tool ranked when there is no autonomy memory? (Resolved in companion document, but the eligibility window is open here.)</w:t>
      </w:r>
    </w:p>
    <w:p>
      <w:pPr>
        <w:pStyle w:val="ListParagraph"/>
        <w:numPr>
          <w:ilvl w:val="0"/>
          <w:numId w:val="2"/>
        </w:numPr>
        <w:spacing w:after="80"/>
      </w:pPr>
      <w:r>
        <w:rPr>
          <w:rFonts w:ascii="Arial" w:cs="Arial" w:eastAsia="Arial" w:hAnsi="Arial"/>
          <w:sz w:val="22"/>
          <w:szCs w:val="22"/>
        </w:rPr>
        <w:t xml:space="preserve">Cross-locale adapter behaviour: one adapter spec serving multiple locales via localise transforms, or one spec per locale?</w:t>
      </w:r>
    </w:p>
    <w:p>
      <w:pPr>
        <w:pStyle w:val="ListParagraph"/>
        <w:numPr>
          <w:ilvl w:val="0"/>
          <w:numId w:val="2"/>
        </w:numPr>
        <w:spacing w:after="80"/>
      </w:pPr>
      <w:r>
        <w:rPr>
          <w:rFonts w:ascii="Arial" w:cs="Arial" w:eastAsia="Arial" w:hAnsi="Arial"/>
          <w:sz w:val="22"/>
          <w:szCs w:val="22"/>
        </w:rPr>
        <w:t xml:space="preserve">Trust tier promotion: automatic via metric thresholds, or manual review at each tier change?</w:t>
      </w:r>
    </w:p>
    <w:p>
      <w:pPr>
        <w:pStyle w:val="ListParagraph"/>
        <w:numPr>
          <w:ilvl w:val="0"/>
          <w:numId w:val="2"/>
        </w:numPr>
        <w:spacing w:after="80"/>
      </w:pPr>
      <w:r>
        <w:rPr>
          <w:rFonts w:ascii="Arial" w:cs="Arial" w:eastAsia="Arial" w:hAnsi="Arial"/>
          <w:sz w:val="22"/>
          <w:szCs w:val="22"/>
        </w:rPr>
        <w:t xml:space="preserve">Versioning strategy: are in-place updates safe within minor bumps, or should every behavioural change require sandbox re-certification?</w:t>
      </w:r>
    </w:p>
    <w:p>
      <w:pPr>
        <w:pStyle w:val="ListParagraph"/>
        <w:numPr>
          <w:ilvl w:val="0"/>
          <w:numId w:val="2"/>
        </w:numPr>
        <w:spacing w:after="80"/>
      </w:pPr>
      <w:r>
        <w:rPr>
          <w:rFonts w:ascii="Arial" w:cs="Arial" w:eastAsia="Arial" w:hAnsi="Arial"/>
          <w:sz w:val="22"/>
          <w:szCs w:val="22"/>
        </w:rPr>
        <w:t xml:space="preserve">Partner MCP authentication: how does JBIQ-issued credential rotation work without traffic interruption?</w:t>
      </w:r>
    </w:p>
    <w:p>
      <w:pPr>
        <w:pStyle w:val="ListParagraph"/>
        <w:numPr>
          <w:ilvl w:val="0"/>
          <w:numId w:val="2"/>
        </w:numPr>
        <w:spacing w:after="80"/>
      </w:pPr>
      <w:r>
        <w:rPr>
          <w:rFonts w:ascii="Arial" w:cs="Arial" w:eastAsia="Arial" w:hAnsi="Arial"/>
          <w:sz w:val="22"/>
          <w:szCs w:val="22"/>
        </w:rPr>
        <w:t xml:space="preserve">DPDP consent capture: partner-mediated, JBIQ-mediated, or via the Consent Manager interop layer in DPDP Rules 2025?</w:t>
      </w:r>
    </w:p>
    <w:p>
      <w:pPr>
        <w:pStyle w:val="ListParagraph"/>
        <w:numPr>
          <w:ilvl w:val="0"/>
          <w:numId w:val="2"/>
        </w:numPr>
        <w:spacing w:after="80"/>
      </w:pPr>
      <w:r>
        <w:rPr>
          <w:rFonts w:ascii="Arial" w:cs="Arial" w:eastAsia="Arial" w:hAnsi="Arial"/>
          <w:sz w:val="22"/>
          <w:szCs w:val="22"/>
        </w:rPr>
        <w:t xml:space="preserve">Imperative adapter sandbox duration: fixed period or metric-driven?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2026-05-07T10:29:43.215Z</dcterms:created>
  <dcterms:modified xsi:type="dcterms:W3CDTF">2026-05-07T10:29:43.235Z</dcterms:modified>
</cp:coreProperties>
</file>

<file path=docProps/custom.xml><?xml version="1.0" encoding="utf-8"?>
<Properties xmlns="http://schemas.openxmlformats.org/officeDocument/2006/custom-properties" xmlns:vt="http://schemas.openxmlformats.org/officeDocument/2006/docPropsVTypes"/>
</file>