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11</w:t>
      </w:r>
    </w:p>
    <w:p>
      <w:pPr>
        <w:spacing w:after="120"/>
      </w:pPr>
      <w:r>
        <w:rPr>
          <w:rFonts w:ascii="Arial" w:cs="Arial" w:eastAsia="Arial" w:hAnsi="Arial"/>
          <w:b/>
          <w:bCs/>
          <w:color w:val="0C0D10"/>
          <w:sz w:val="44"/>
          <w:szCs w:val="44"/>
        </w:rPr>
        <w:t xml:space="preserve">Partner ecosystem &amp; attribution</w:t>
      </w:r>
    </w:p>
    <w:p>
      <w:pPr>
        <w:spacing w:after="360"/>
      </w:pPr>
      <w:r>
        <w:rPr>
          <w:rFonts w:ascii="Arial" w:cs="Arial" w:eastAsia="Arial" w:hAnsi="Arial"/>
          <w:i/>
          <w:iCs/>
          <w:color w:val="55585E"/>
          <w:sz w:val="26"/>
          <w:szCs w:val="26"/>
        </w:rPr>
        <w:t xml:space="preserve">How third-party tools show up in JBIQ without breaking the contract — manifests, primitives, resolution strategies, equity rules, plus the GA-added Vertical Lift agentic pipeline and the Partner Portal hard-gate.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Partner Engineering, AI Systems, QA, Compliance</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Subordinates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Partner Capability Manifest · Multi-Partner Conflict Resolution Model</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Goals 08, 09 (10+ partners live; 3+ new partners/month; 2+ net-new signature experiences/month)</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governs how third-party tools — Swiggy, Apollo, IRCTC, partner skills inside JBIQ — show up inside the JBIQ conversation without breaking the canonical contract. It defines what partners declare, what JBIQ governs, the five resolution strategies for when multiple partners can serve the same intent, the ranking signal hierarchy, the equity rules that keep the ecosystem open, and the transparency surfaces the user always has access to. With GA, it also governs Vertical Lift — the internal agentic build pipeline that takes a validated use case to a live signature experience in 7 days — and the Partner Portal move from advisory to hard-gate.</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Make partner integration a translation problem, not an integration problem.</w:t>
      </w:r>
    </w:p>
    <w:p>
      <w:pPr>
        <w:pStyle w:val="ListParagraph"/>
        <w:numPr>
          <w:ilvl w:val="0"/>
          <w:numId w:val="2"/>
        </w:numPr>
        <w:spacing w:after="40" w:before="40" w:line="320"/>
      </w:pPr>
      <w:r>
        <w:rPr>
          <w:rFonts w:ascii="Arial" w:cs="Arial" w:eastAsia="Arial" w:hAnsi="Arial"/>
          <w:color w:val="0C0D10"/>
          <w:sz w:val="22"/>
          <w:szCs w:val="22"/>
        </w:rPr>
        <w:t xml:space="preserve">Lock the canonical contract — partners declare capability, JBIQ governs interaction.</w:t>
      </w:r>
    </w:p>
    <w:p>
      <w:pPr>
        <w:pStyle w:val="ListParagraph"/>
        <w:numPr>
          <w:ilvl w:val="0"/>
          <w:numId w:val="2"/>
        </w:numPr>
        <w:spacing w:after="40" w:before="40" w:line="320"/>
      </w:pPr>
      <w:r>
        <w:rPr>
          <w:rFonts w:ascii="Arial" w:cs="Arial" w:eastAsia="Arial" w:hAnsi="Arial"/>
          <w:color w:val="0C0D10"/>
          <w:sz w:val="22"/>
          <w:szCs w:val="22"/>
        </w:rPr>
        <w:t xml:space="preserve">Codify the five resolution strategies for multi-partner intents.</w:t>
      </w:r>
    </w:p>
    <w:p>
      <w:pPr>
        <w:pStyle w:val="ListParagraph"/>
        <w:numPr>
          <w:ilvl w:val="0"/>
          <w:numId w:val="2"/>
        </w:numPr>
        <w:spacing w:after="40" w:before="40" w:line="320"/>
      </w:pPr>
      <w:r>
        <w:rPr>
          <w:rFonts w:ascii="Arial" w:cs="Arial" w:eastAsia="Arial" w:hAnsi="Arial"/>
          <w:color w:val="0C0D10"/>
          <w:sz w:val="22"/>
          <w:szCs w:val="22"/>
        </w:rPr>
        <w:t xml:space="preserve">Prevent silent partner monopolisation through equity rules.</w:t>
      </w:r>
    </w:p>
    <w:p>
      <w:pPr>
        <w:pStyle w:val="ListParagraph"/>
        <w:numPr>
          <w:ilvl w:val="0"/>
          <w:numId w:val="2"/>
        </w:numPr>
        <w:spacing w:after="40" w:before="40" w:line="320"/>
      </w:pPr>
      <w:r>
        <w:rPr>
          <w:rFonts w:ascii="Arial" w:cs="Arial" w:eastAsia="Arial" w:hAnsi="Arial"/>
          <w:color w:val="0C0D10"/>
          <w:sz w:val="22"/>
          <w:szCs w:val="22"/>
        </w:rPr>
        <w:t xml:space="preserve">Make ranking decisions inspectable, correctable, reversible by the user.</w:t>
      </w:r>
    </w:p>
    <w:p>
      <w:pPr>
        <w:pStyle w:val="ListParagraph"/>
        <w:numPr>
          <w:ilvl w:val="0"/>
          <w:numId w:val="2"/>
        </w:numPr>
        <w:spacing w:after="40" w:before="40" w:line="320"/>
      </w:pPr>
      <w:r>
        <w:rPr>
          <w:rFonts w:ascii="Arial" w:cs="Arial" w:eastAsia="Arial" w:hAnsi="Arial"/>
          <w:color w:val="0C0D10"/>
          <w:sz w:val="22"/>
          <w:szCs w:val="22"/>
        </w:rPr>
        <w:t xml:space="preserve">Govern the Vertical Lift agentic pipeline (GA addition).</w:t>
      </w:r>
    </w:p>
    <w:p>
      <w:pPr>
        <w:pStyle w:val="ListParagraph"/>
        <w:numPr>
          <w:ilvl w:val="0"/>
          <w:numId w:val="2"/>
        </w:numPr>
        <w:spacing w:after="40" w:before="40" w:line="320"/>
      </w:pPr>
      <w:r>
        <w:rPr>
          <w:rFonts w:ascii="Arial" w:cs="Arial" w:eastAsia="Arial" w:hAnsi="Arial"/>
          <w:color w:val="0C0D10"/>
          <w:sz w:val="22"/>
          <w:szCs w:val="22"/>
        </w:rPr>
        <w:t xml:space="preserve">Lock the Partner Portal hard-gate at GA — 30-min sandbox-to-skill, 5-min behaviour visibility, 1-min error / violation surfacing.</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A partner integration that violates the manifest contract, renders custom UI, embeds checkout, writes directly to memory, or hides attribution must be rejected at registry time or revoked at runtime.</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Partner Capability Manifest — what partners declare.</w:t>
      </w:r>
    </w:p>
    <w:p>
      <w:pPr>
        <w:pStyle w:val="ListParagraph"/>
        <w:numPr>
          <w:ilvl w:val="0"/>
          <w:numId w:val="2"/>
        </w:numPr>
        <w:spacing w:after="40" w:before="40" w:line="320"/>
      </w:pPr>
      <w:r>
        <w:rPr>
          <w:rFonts w:ascii="Arial" w:cs="Arial" w:eastAsia="Arial" w:hAnsi="Arial"/>
          <w:color w:val="0C0D10"/>
          <w:sz w:val="22"/>
          <w:szCs w:val="22"/>
        </w:rPr>
        <w:t xml:space="preserve">Canonical primitives — the eight permitted output shapes.</w:t>
      </w:r>
    </w:p>
    <w:p>
      <w:pPr>
        <w:pStyle w:val="ListParagraph"/>
        <w:numPr>
          <w:ilvl w:val="0"/>
          <w:numId w:val="2"/>
        </w:numPr>
        <w:spacing w:after="40" w:before="40" w:line="320"/>
      </w:pPr>
      <w:r>
        <w:rPr>
          <w:rFonts w:ascii="Arial" w:cs="Arial" w:eastAsia="Arial" w:hAnsi="Arial"/>
          <w:color w:val="0C0D10"/>
          <w:sz w:val="22"/>
          <w:szCs w:val="22"/>
        </w:rPr>
        <w:t xml:space="preserve">Adapter DSL — declarative-first, imperative fallback.</w:t>
      </w:r>
    </w:p>
    <w:p>
      <w:pPr>
        <w:pStyle w:val="ListParagraph"/>
        <w:numPr>
          <w:ilvl w:val="0"/>
          <w:numId w:val="2"/>
        </w:numPr>
        <w:spacing w:after="40" w:before="40" w:line="320"/>
      </w:pPr>
      <w:r>
        <w:rPr>
          <w:rFonts w:ascii="Arial" w:cs="Arial" w:eastAsia="Arial" w:hAnsi="Arial"/>
          <w:color w:val="0C0D10"/>
          <w:sz w:val="22"/>
          <w:szCs w:val="22"/>
        </w:rPr>
        <w:t xml:space="preserve">Commitment authority — JBIQ owns commitment regardless of which partner fulfils.</w:t>
      </w:r>
    </w:p>
    <w:p>
      <w:pPr>
        <w:pStyle w:val="ListParagraph"/>
        <w:numPr>
          <w:ilvl w:val="0"/>
          <w:numId w:val="2"/>
        </w:numPr>
        <w:spacing w:after="40" w:before="40" w:line="320"/>
      </w:pPr>
      <w:r>
        <w:rPr>
          <w:rFonts w:ascii="Arial" w:cs="Arial" w:eastAsia="Arial" w:hAnsi="Arial"/>
          <w:color w:val="0C0D10"/>
          <w:sz w:val="22"/>
          <w:szCs w:val="22"/>
        </w:rPr>
        <w:t xml:space="preserve">Five resolution strategies — Single-Best, Merged, Stratified, Choice-Gated, Sequential-Fallback.</w:t>
      </w:r>
    </w:p>
    <w:p>
      <w:pPr>
        <w:pStyle w:val="ListParagraph"/>
        <w:numPr>
          <w:ilvl w:val="0"/>
          <w:numId w:val="2"/>
        </w:numPr>
        <w:spacing w:after="40" w:before="40" w:line="320"/>
      </w:pPr>
      <w:r>
        <w:rPr>
          <w:rFonts w:ascii="Arial" w:cs="Arial" w:eastAsia="Arial" w:hAnsi="Arial"/>
          <w:color w:val="0C0D10"/>
          <w:sz w:val="22"/>
          <w:szCs w:val="22"/>
        </w:rPr>
        <w:t xml:space="preserve">Ranking signal hierarchy.</w:t>
      </w:r>
    </w:p>
    <w:p>
      <w:pPr>
        <w:pStyle w:val="ListParagraph"/>
        <w:numPr>
          <w:ilvl w:val="0"/>
          <w:numId w:val="2"/>
        </w:numPr>
        <w:spacing w:after="40" w:before="40" w:line="320"/>
      </w:pPr>
      <w:r>
        <w:rPr>
          <w:rFonts w:ascii="Arial" w:cs="Arial" w:eastAsia="Arial" w:hAnsi="Arial"/>
          <w:color w:val="0C0D10"/>
          <w:sz w:val="22"/>
          <w:szCs w:val="22"/>
        </w:rPr>
        <w:t xml:space="preserve">Equity rules — cold-start budget, monopoly cap, demotion decay, suppression visibility.</w:t>
      </w:r>
    </w:p>
    <w:p>
      <w:pPr>
        <w:pStyle w:val="ListParagraph"/>
        <w:numPr>
          <w:ilvl w:val="0"/>
          <w:numId w:val="2"/>
        </w:numPr>
        <w:spacing w:after="40" w:before="40" w:line="320"/>
      </w:pPr>
      <w:r>
        <w:rPr>
          <w:rFonts w:ascii="Arial" w:cs="Arial" w:eastAsia="Arial" w:hAnsi="Arial"/>
          <w:color w:val="0C0D10"/>
          <w:sz w:val="22"/>
          <w:szCs w:val="22"/>
        </w:rPr>
        <w:t xml:space="preserve">Transparency — attribution per render, "Why this result?", partner preferences surface.</w:t>
      </w:r>
    </w:p>
    <w:p>
      <w:pPr>
        <w:pStyle w:val="ListParagraph"/>
        <w:numPr>
          <w:ilvl w:val="0"/>
          <w:numId w:val="2"/>
        </w:numPr>
        <w:spacing w:after="40" w:before="40" w:line="320"/>
      </w:pPr>
      <w:r>
        <w:rPr>
          <w:rFonts w:ascii="Arial" w:cs="Arial" w:eastAsia="Arial" w:hAnsi="Arial"/>
          <w:color w:val="0C0D10"/>
          <w:sz w:val="22"/>
          <w:szCs w:val="22"/>
        </w:rPr>
        <w:t xml:space="preserve">Partner anti-patterns.</w:t>
      </w:r>
    </w:p>
    <w:p>
      <w:pPr>
        <w:pStyle w:val="ListParagraph"/>
        <w:numPr>
          <w:ilvl w:val="0"/>
          <w:numId w:val="2"/>
        </w:numPr>
        <w:spacing w:after="40" w:before="40" w:line="320"/>
      </w:pPr>
      <w:r>
        <w:rPr>
          <w:rFonts w:ascii="Arial" w:cs="Arial" w:eastAsia="Arial" w:hAnsi="Arial"/>
          <w:color w:val="0C0D10"/>
          <w:sz w:val="22"/>
          <w:szCs w:val="22"/>
        </w:rPr>
        <w:t xml:space="preserve">Vertical Lift agentic build pipeline (GA addition).</w:t>
      </w:r>
    </w:p>
    <w:p>
      <w:pPr>
        <w:pStyle w:val="ListParagraph"/>
        <w:numPr>
          <w:ilvl w:val="0"/>
          <w:numId w:val="2"/>
        </w:numPr>
        <w:spacing w:after="40" w:before="40" w:line="320"/>
      </w:pPr>
      <w:r>
        <w:rPr>
          <w:rFonts w:ascii="Arial" w:cs="Arial" w:eastAsia="Arial" w:hAnsi="Arial"/>
          <w:color w:val="0C0D10"/>
          <w:sz w:val="22"/>
          <w:szCs w:val="22"/>
        </w:rPr>
        <w:t xml:space="preserve">Primitives the playbook hands to agents (GA addition).</w:t>
      </w:r>
    </w:p>
    <w:p>
      <w:pPr>
        <w:pStyle w:val="ListParagraph"/>
        <w:numPr>
          <w:ilvl w:val="0"/>
          <w:numId w:val="2"/>
        </w:numPr>
        <w:spacing w:after="40" w:before="40" w:line="320"/>
      </w:pPr>
      <w:r>
        <w:rPr>
          <w:rFonts w:ascii="Arial" w:cs="Arial" w:eastAsia="Arial" w:hAnsi="Arial"/>
          <w:color w:val="0C0D10"/>
          <w:sz w:val="22"/>
          <w:szCs w:val="22"/>
        </w:rPr>
        <w:t xml:space="preserve">Partner Portal — advisory to hard-gate (GA addition).</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Partner MCP server implementation details (governed by Partner Engineering).</w:t>
      </w:r>
    </w:p>
    <w:p>
      <w:pPr>
        <w:pStyle w:val="ListParagraph"/>
        <w:numPr>
          <w:ilvl w:val="0"/>
          <w:numId w:val="2"/>
        </w:numPr>
        <w:spacing w:after="40" w:before="40" w:line="320"/>
      </w:pPr>
      <w:r>
        <w:rPr>
          <w:rFonts w:ascii="Arial" w:cs="Arial" w:eastAsia="Arial" w:hAnsi="Arial"/>
          <w:color w:val="0C0D10"/>
          <w:sz w:val="22"/>
          <w:szCs w:val="22"/>
        </w:rPr>
        <w:t xml:space="preserve">Commercial agreements, revenue share, pricing models (governed by Business).</w:t>
      </w:r>
    </w:p>
    <w:p>
      <w:pPr>
        <w:pStyle w:val="ListParagraph"/>
        <w:numPr>
          <w:ilvl w:val="0"/>
          <w:numId w:val="2"/>
        </w:numPr>
        <w:spacing w:after="40" w:before="40" w:line="320"/>
      </w:pPr>
      <w:r>
        <w:rPr>
          <w:rFonts w:ascii="Arial" w:cs="Arial" w:eastAsia="Arial" w:hAnsi="Arial"/>
          <w:color w:val="0C0D10"/>
          <w:sz w:val="22"/>
          <w:szCs w:val="22"/>
        </w:rPr>
        <w:t xml:space="preserve">Per-partner contract negotiation (governed by Partnerships team).</w:t>
      </w:r>
    </w:p>
    <w:p>
      <w:pPr>
        <w:pStyle w:val="ListParagraph"/>
        <w:numPr>
          <w:ilvl w:val="0"/>
          <w:numId w:val="2"/>
        </w:numPr>
        <w:spacing w:after="40" w:before="40" w:line="320"/>
      </w:pPr>
      <w:r>
        <w:rPr>
          <w:rFonts w:ascii="Arial" w:cs="Arial" w:eastAsia="Arial" w:hAnsi="Arial"/>
          <w:color w:val="0C0D10"/>
          <w:sz w:val="22"/>
          <w:szCs w:val="22"/>
        </w:rPr>
        <w:t xml:space="preserve">The Vertical Lift agent's internal architecture (governed by AI Core).</w:t>
      </w:r>
    </w:p>
    <w:p>
      <w:pPr>
        <w:pStyle w:val="Heading1"/>
        <w:spacing w:after="120" w:before="360"/>
      </w:pPr>
      <w:r>
        <w:rPr>
          <w:rFonts w:ascii="Arial" w:cs="Arial" w:eastAsia="Arial" w:hAnsi="Arial"/>
          <w:b/>
          <w:bCs/>
          <w:color w:val="0C0D10"/>
          <w:sz w:val="32"/>
          <w:szCs w:val="32"/>
        </w:rPr>
        <w:t xml:space="preserve">2.  Ecosystem invariants</w:t>
      </w:r>
    </w:p>
    <w:p>
      <w:pPr>
        <w:pStyle w:val="ListParagraph"/>
        <w:numPr>
          <w:ilvl w:val="0"/>
          <w:numId w:val="3"/>
        </w:numPr>
        <w:spacing w:after="40" w:before="40" w:line="320"/>
      </w:pPr>
      <w:r>
        <w:rPr>
          <w:rFonts w:ascii="Arial" w:cs="Arial" w:eastAsia="Arial" w:hAnsi="Arial"/>
          <w:color w:val="0C0D10"/>
          <w:sz w:val="22"/>
          <w:szCs w:val="22"/>
        </w:rPr>
        <w:t xml:space="preserve">Every partner tool that participates in JBIQ conversation must register a valid manifest. The manifest is the only contract surface between partner and JBIQ.</w:t>
      </w:r>
    </w:p>
    <w:p>
      <w:pPr>
        <w:pStyle w:val="ListParagraph"/>
        <w:numPr>
          <w:ilvl w:val="0"/>
          <w:numId w:val="3"/>
        </w:numPr>
        <w:spacing w:after="40" w:before="40" w:line="320"/>
      </w:pPr>
      <w:r>
        <w:rPr>
          <w:rFonts w:ascii="Arial" w:cs="Arial" w:eastAsia="Arial" w:hAnsi="Arial"/>
          <w:color w:val="0C0D10"/>
          <w:sz w:val="22"/>
          <w:szCs w:val="22"/>
        </w:rPr>
        <w:t xml:space="preserve">Partners declare canonical intents. They do not invent new ones, do not introduce new states, do not introduce new output primitives.</w:t>
      </w:r>
    </w:p>
    <w:p>
      <w:pPr>
        <w:pStyle w:val="ListParagraph"/>
        <w:numPr>
          <w:ilvl w:val="0"/>
          <w:numId w:val="3"/>
        </w:numPr>
        <w:spacing w:after="40" w:before="40" w:line="320"/>
      </w:pPr>
      <w:r>
        <w:rPr>
          <w:rFonts w:ascii="Arial" w:cs="Arial" w:eastAsia="Arial" w:hAnsi="Arial"/>
          <w:color w:val="0C0D10"/>
          <w:sz w:val="22"/>
          <w:szCs w:val="22"/>
        </w:rPr>
        <w:t xml:space="preserve">Partner output is rendered through canonical primitives only. Custom partner UI is prohibited.</w:t>
      </w:r>
    </w:p>
    <w:p>
      <w:pPr>
        <w:pStyle w:val="ListParagraph"/>
        <w:numPr>
          <w:ilvl w:val="0"/>
          <w:numId w:val="3"/>
        </w:numPr>
        <w:spacing w:after="40" w:before="40" w:line="320"/>
      </w:pPr>
      <w:r>
        <w:rPr>
          <w:rFonts w:ascii="Arial" w:cs="Arial" w:eastAsia="Arial" w:hAnsi="Arial"/>
          <w:color w:val="0C0D10"/>
          <w:sz w:val="22"/>
          <w:szCs w:val="22"/>
        </w:rPr>
        <w:t xml:space="preserve">JBIQ owns commitment authority regardless of which partner fulfils the intent. Partners do not display their own checkout or confirmation surface.</w:t>
      </w:r>
    </w:p>
    <w:p>
      <w:pPr>
        <w:pStyle w:val="ListParagraph"/>
        <w:numPr>
          <w:ilvl w:val="0"/>
          <w:numId w:val="3"/>
        </w:numPr>
        <w:spacing w:after="40" w:before="40" w:line="320"/>
      </w:pPr>
      <w:r>
        <w:rPr>
          <w:rFonts w:ascii="Arial" w:cs="Arial" w:eastAsia="Arial" w:hAnsi="Arial"/>
          <w:color w:val="0C0D10"/>
          <w:sz w:val="22"/>
          <w:szCs w:val="22"/>
        </w:rPr>
        <w:t xml:space="preserve">Memory writes occur only through JBIQ-mediated paths declared in the manifest. Direct partner writes are prohibited.</w:t>
      </w:r>
    </w:p>
    <w:p>
      <w:pPr>
        <w:pStyle w:val="ListParagraph"/>
        <w:numPr>
          <w:ilvl w:val="0"/>
          <w:numId w:val="3"/>
        </w:numPr>
        <w:spacing w:after="40" w:before="40" w:line="320"/>
      </w:pPr>
      <w:r>
        <w:rPr>
          <w:rFonts w:ascii="Arial" w:cs="Arial" w:eastAsia="Arial" w:hAnsi="Arial"/>
          <w:color w:val="0C0D10"/>
          <w:sz w:val="22"/>
          <w:szCs w:val="22"/>
        </w:rPr>
        <w:t xml:space="preserve">Partner branding appears only as attribution. It does not appear as chrome, frame, or surface header.</w:t>
      </w:r>
    </w:p>
    <w:p>
      <w:pPr>
        <w:pStyle w:val="ListParagraph"/>
        <w:numPr>
          <w:ilvl w:val="0"/>
          <w:numId w:val="3"/>
        </w:numPr>
        <w:spacing w:after="40" w:before="40" w:line="320"/>
      </w:pPr>
      <w:r>
        <w:rPr>
          <w:rFonts w:ascii="Arial" w:cs="Arial" w:eastAsia="Arial" w:hAnsi="Arial"/>
          <w:color w:val="0C0D10"/>
          <w:sz w:val="22"/>
          <w:szCs w:val="22"/>
        </w:rPr>
        <w:t xml:space="preserve">Cross-partner data exchange via JBIQ is prohibited unless explicitly user-mediated.</w:t>
      </w:r>
    </w:p>
    <w:p>
      <w:pPr>
        <w:pStyle w:val="ListParagraph"/>
        <w:numPr>
          <w:ilvl w:val="0"/>
          <w:numId w:val="3"/>
        </w:numPr>
        <w:spacing w:after="40" w:before="40" w:line="320"/>
      </w:pPr>
      <w:r>
        <w:rPr>
          <w:rFonts w:ascii="Arial" w:cs="Arial" w:eastAsia="Arial" w:hAnsi="Arial"/>
          <w:color w:val="0C0D10"/>
          <w:sz w:val="22"/>
          <w:szCs w:val="22"/>
        </w:rPr>
        <w:t xml:space="preserve">OTPs, PINs, full card numbers, Aadhaar, biometric data, CVV values never appear in any manifest field, adapter spec, or partner-bound payload (Ch. 8 §7).</w:t>
      </w:r>
    </w:p>
    <w:p>
      <w:pPr>
        <w:pStyle w:val="ListParagraph"/>
        <w:numPr>
          <w:ilvl w:val="0"/>
          <w:numId w:val="3"/>
        </w:numPr>
        <w:spacing w:after="40" w:before="40" w:line="320"/>
      </w:pPr>
      <w:r>
        <w:rPr>
          <w:rFonts w:ascii="Arial" w:cs="Arial" w:eastAsia="Arial" w:hAnsi="Arial"/>
          <w:color w:val="0C0D10"/>
          <w:sz w:val="22"/>
          <w:szCs w:val="22"/>
        </w:rPr>
        <w:t xml:space="preserve">Resolution outcomes must be deterministic given the same inputs and signal state.</w:t>
      </w:r>
    </w:p>
    <w:p>
      <w:pPr>
        <w:pStyle w:val="ListParagraph"/>
        <w:numPr>
          <w:ilvl w:val="0"/>
          <w:numId w:val="3"/>
        </w:numPr>
        <w:spacing w:after="40" w:before="40" w:line="320"/>
      </w:pPr>
      <w:r>
        <w:rPr>
          <w:rFonts w:ascii="Arial" w:cs="Arial" w:eastAsia="Arial" w:hAnsi="Arial"/>
          <w:color w:val="0C0D10"/>
          <w:sz w:val="22"/>
          <w:szCs w:val="22"/>
        </w:rPr>
        <w:t xml:space="preserve">Every partner-fulfilled output renders with partner attribution (per Manifest §4.2). Attribution is non-negotiable regardless of strategy.</w:t>
      </w:r>
    </w:p>
    <w:p>
      <w:pPr>
        <w:pStyle w:val="ListParagraph"/>
        <w:numPr>
          <w:ilvl w:val="0"/>
          <w:numId w:val="3"/>
        </w:numPr>
        <w:spacing w:after="40" w:before="40" w:line="320"/>
      </w:pPr>
      <w:r>
        <w:rPr>
          <w:rFonts w:ascii="Arial" w:cs="Arial" w:eastAsia="Arial" w:hAnsi="Arial"/>
          <w:color w:val="0C0D10"/>
          <w:sz w:val="22"/>
          <w:szCs w:val="22"/>
        </w:rPr>
        <w:t xml:space="preserve">Default partner selection must be explainable in plain language via the "Why this result?" surface.</w:t>
      </w:r>
    </w:p>
    <w:p>
      <w:pPr>
        <w:pStyle w:val="ListParagraph"/>
        <w:numPr>
          <w:ilvl w:val="0"/>
          <w:numId w:val="3"/>
        </w:numPr>
        <w:spacing w:after="40" w:before="40" w:line="320"/>
      </w:pPr>
      <w:r>
        <w:rPr>
          <w:rFonts w:ascii="Arial" w:cs="Arial" w:eastAsia="Arial" w:hAnsi="Arial"/>
          <w:color w:val="0C0D10"/>
          <w:sz w:val="22"/>
          <w:szCs w:val="22"/>
        </w:rPr>
        <w:t xml:space="preserve">Partner ranking may not be commercially manipulated without disclosure.</w:t>
      </w:r>
    </w:p>
    <w:p>
      <w:pPr>
        <w:pStyle w:val="ListParagraph"/>
        <w:numPr>
          <w:ilvl w:val="0"/>
          <w:numId w:val="3"/>
        </w:numPr>
        <w:spacing w:after="40" w:before="40" w:line="320"/>
      </w:pPr>
      <w:r>
        <w:rPr>
          <w:rFonts w:ascii="Arial" w:cs="Arial" w:eastAsia="Arial" w:hAnsi="Arial"/>
          <w:color w:val="0C0D10"/>
          <w:sz w:val="22"/>
          <w:szCs w:val="22"/>
        </w:rPr>
        <w:t xml:space="preserve">A single partner cannot exceed the monopoly cap in a domain without explicit user opt-in.</w:t>
      </w:r>
    </w:p>
    <w:p>
      <w:pPr>
        <w:pStyle w:val="ListParagraph"/>
        <w:numPr>
          <w:ilvl w:val="0"/>
          <w:numId w:val="3"/>
        </w:numPr>
        <w:spacing w:after="40" w:before="40" w:line="320"/>
      </w:pPr>
      <w:r>
        <w:rPr>
          <w:rFonts w:ascii="Arial" w:cs="Arial" w:eastAsia="Arial" w:hAnsi="Arial"/>
          <w:color w:val="0C0D10"/>
          <w:sz w:val="22"/>
          <w:szCs w:val="22"/>
        </w:rPr>
        <w:t xml:space="preserve">Suppressed partners must be visible to the user on demand.</w:t>
      </w:r>
    </w:p>
    <w:p>
      <w:pPr>
        <w:pStyle w:val="ListParagraph"/>
        <w:numPr>
          <w:ilvl w:val="0"/>
          <w:numId w:val="3"/>
        </w:numPr>
        <w:spacing w:after="40" w:before="40" w:line="320"/>
      </w:pPr>
      <w:r>
        <w:rPr>
          <w:rFonts w:ascii="Arial" w:cs="Arial" w:eastAsia="Arial" w:hAnsi="Arial"/>
          <w:color w:val="0C0D10"/>
          <w:sz w:val="22"/>
          <w:szCs w:val="22"/>
        </w:rPr>
        <w:t xml:space="preserve">New partners receive a cold-start exposure budget.</w:t>
      </w:r>
    </w:p>
    <w:p>
      <w:pPr>
        <w:pStyle w:val="ListParagraph"/>
        <w:numPr>
          <w:ilvl w:val="0"/>
          <w:numId w:val="3"/>
        </w:numPr>
        <w:spacing w:after="40" w:before="40" w:line="320"/>
      </w:pPr>
      <w:r>
        <w:rPr>
          <w:rFonts w:ascii="Arial" w:cs="Arial" w:eastAsia="Arial" w:hAnsi="Arial"/>
          <w:color w:val="0C0D10"/>
          <w:sz w:val="22"/>
          <w:szCs w:val="22"/>
        </w:rPr>
        <w:t xml:space="preserve">Demotion signals are time-decayed; partners are not banished forever for a single failure.</w:t>
      </w:r>
    </w:p>
    <w:p>
      <w:pPr>
        <w:pStyle w:val="Heading1"/>
        <w:spacing w:after="120" w:before="360"/>
      </w:pPr>
      <w:r>
        <w:rPr>
          <w:rFonts w:ascii="Arial" w:cs="Arial" w:eastAsia="Arial" w:hAnsi="Arial"/>
          <w:b/>
          <w:bCs/>
          <w:color w:val="0C0D10"/>
          <w:sz w:val="32"/>
          <w:szCs w:val="32"/>
        </w:rPr>
        <w:t xml:space="preserve">3.  The Partner Capability Manifest</w:t>
      </w:r>
    </w:p>
    <w:p>
      <w:pPr>
        <w:spacing w:after="120" w:before="0" w:line="320"/>
        <w:jc w:val="left"/>
      </w:pPr>
      <w:r>
        <w:rPr>
          <w:rFonts w:ascii="Arial" w:cs="Arial" w:eastAsia="Arial" w:hAnsi="Arial"/>
          <w:b w:val="false"/>
          <w:bCs w:val="false"/>
          <w:i w:val="false"/>
          <w:iCs w:val="false"/>
          <w:color w:val="0C0D10"/>
          <w:sz w:val="22"/>
          <w:szCs w:val="22"/>
        </w:rPr>
        <w:t xml:space="preserve">The manifest is the declarative contract a partner submits. It describes what the partner's tool does, what data it consumes and produces, what risk it carries, what locales it serves. JBIQ does the rest. The Manifest is the only point of negotiation; everything that follows in the system is derived from what is declared there.</w:t>
      </w:r>
    </w:p>
    <w:p>
      <w:pPr>
        <w:pStyle w:val="Heading2"/>
        <w:spacing w:after="80" w:before="280"/>
      </w:pPr>
      <w:r>
        <w:rPr>
          <w:rFonts w:ascii="Arial" w:cs="Arial" w:eastAsia="Arial" w:hAnsi="Arial"/>
          <w:b/>
          <w:bCs/>
          <w:color w:val="0C0D10"/>
          <w:sz w:val="26"/>
          <w:szCs w:val="26"/>
        </w:rPr>
        <w:t xml:space="preserve">3.1  Manifest sections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rPr>
          <w:tblHeader/>
        </w:trPr>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4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Field examples</w:t>
            </w:r>
          </w:p>
        </w:tc>
        <w:tc>
          <w:tcPr>
            <w:tcW w:type="dxa" w:w="38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Governed by</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Identity &amp; Versioning</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manifest_version, partner_id, tool_id, tool_version, published_at</w:t>
            </w:r>
          </w:p>
        </w:tc>
        <w:tc>
          <w:tcPr>
            <w:tcW w:type="dxa" w:w="3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 §4.1</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Attribution &amp; Branding</w:t>
            </w:r>
          </w:p>
        </w:tc>
        <w:tc>
          <w:tcPr>
            <w:tcW w:type="dxa" w:w="4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display_name, badge_logo_uri, surface_text, trust_tier</w:t>
            </w:r>
          </w:p>
        </w:tc>
        <w:tc>
          <w:tcPr>
            <w:tcW w:type="dxa" w:w="3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 §4.2</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Intent Declaration</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canonical_intent, intent_priority, intent_confidence_threshold, signals_required, signals_optional</w:t>
            </w:r>
          </w:p>
        </w:tc>
        <w:tc>
          <w:tcPr>
            <w:tcW w:type="dxa" w:w="3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 §4.3</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Output Primitive</w:t>
            </w:r>
          </w:p>
        </w:tc>
        <w:tc>
          <w:tcPr>
            <w:tcW w:type="dxa" w:w="4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primitive, primitive_variant, void_render</w:t>
            </w:r>
          </w:p>
        </w:tc>
        <w:tc>
          <w:tcPr>
            <w:tcW w:type="dxa" w:w="3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 §4.4</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Adapter Specification</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adapter_type (declarative / imperative), adapter_spec, adapter_endpoint</w:t>
            </w:r>
          </w:p>
        </w:tc>
        <w:tc>
          <w:tcPr>
            <w:tcW w:type="dxa" w:w="3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 §4.5 + §5</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Commitment &amp; Risk</w:t>
            </w:r>
          </w:p>
        </w:tc>
        <w:tc>
          <w:tcPr>
            <w:tcW w:type="dxa" w:w="4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commitment_level, risk_tier, auth_floor, reversibility_window_seconds</w:t>
            </w:r>
          </w:p>
        </w:tc>
        <w:tc>
          <w:tcPr>
            <w:tcW w:type="dxa" w:w="3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 §4.6 + Ch. 8</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Domain &amp; Assistant compat.</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domain, sub_domain, assistant_compatible</w:t>
            </w:r>
          </w:p>
        </w:tc>
        <w:tc>
          <w:tcPr>
            <w:tcW w:type="dxa" w:w="3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 §4.7</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Locale &amp; Accessibility</w:t>
            </w:r>
          </w:p>
        </w:tc>
        <w:tc>
          <w:tcPr>
            <w:tcW w:type="dxa" w:w="4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supported_locales, voice_renderable, feature_phone_renderable</w:t>
            </w:r>
          </w:p>
        </w:tc>
        <w:tc>
          <w:tcPr>
            <w:tcW w:type="dxa" w:w="3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 §4.8 + Ch. 6</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&amp; Autonomy</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signals_consumed, signals_produced, autonomy_eligible, autonomy_max_level</w:t>
            </w:r>
          </w:p>
        </w:tc>
        <w:tc>
          <w:tcPr>
            <w:tcW w:type="dxa" w:w="3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 §4.9 + Ch. 7</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Reliability &amp; SLA</w:t>
            </w:r>
          </w:p>
        </w:tc>
        <w:tc>
          <w:tcPr>
            <w:tcW w:type="dxa" w:w="4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p50_latency_ms, p99_latency_ms, availability, fallback_tool_ids</w:t>
            </w:r>
          </w:p>
        </w:tc>
        <w:tc>
          <w:tcPr>
            <w:tcW w:type="dxa" w:w="3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 §4.10</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data_residency, data_retention_days, sensitive_data_classification, dpdp_consent_required</w:t>
            </w:r>
          </w:p>
        </w:tc>
        <w:tc>
          <w:tcPr>
            <w:tcW w:type="dxa" w:w="3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Manifest §4.11 + Ch. 8 §11</w:t>
            </w:r>
          </w:p>
        </w:tc>
      </w:tr>
    </w:tbl>
    <w:p>
      <w:pPr>
        <w:pStyle w:val="Heading1"/>
        <w:spacing w:after="120" w:before="360"/>
      </w:pPr>
      <w:r>
        <w:rPr>
          <w:rFonts w:ascii="Arial" w:cs="Arial" w:eastAsia="Arial" w:hAnsi="Arial"/>
          <w:b/>
          <w:bCs/>
          <w:color w:val="0C0D10"/>
          <w:sz w:val="32"/>
          <w:szCs w:val="32"/>
        </w:rPr>
        <w:t xml:space="preserve">4.  Canonical primitives</w:t>
      </w:r>
    </w:p>
    <w:p>
      <w:pPr>
        <w:spacing w:after="120" w:before="0" w:line="320"/>
        <w:jc w:val="left"/>
      </w:pPr>
      <w:r>
        <w:rPr>
          <w:rFonts w:ascii="Arial" w:cs="Arial" w:eastAsia="Arial" w:hAnsi="Arial"/>
          <w:b w:val="false"/>
          <w:bCs w:val="false"/>
          <w:i w:val="false"/>
          <w:iCs w:val="false"/>
          <w:color w:val="0C0D10"/>
          <w:sz w:val="22"/>
          <w:szCs w:val="22"/>
        </w:rPr>
        <w:t xml:space="preserve">Eight canonical output primitives cover every JBIQ-rendered partner output. Custom partner UI is prohibited; partners declare against a primitive and JBIQ renders.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680"/>
      </w:tblGrid>
      <w:tr>
        <w:trPr>
          <w:tblHeader/>
        </w:trPr>
        <w:tc>
          <w:tcPr>
            <w:tcW w:type="dxa" w:w="1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Primitive</w:t>
            </w:r>
          </w:p>
        </w:tc>
        <w:tc>
          <w:tcPr>
            <w:tcW w:type="dxa" w:w="2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Use</w:t>
            </w:r>
          </w:p>
        </w:tc>
        <w:tc>
          <w:tcPr>
            <w:tcW w:type="dxa" w:w="56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Example partners</w:t>
            </w:r>
          </w:p>
        </w:tc>
      </w:tr>
      <w:tr>
        <w:tc>
          <w:tcPr>
            <w:tcW w:type="dxa" w:w="1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DiscoveryView</w:t>
            </w:r>
          </w:p>
        </w:tc>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3–5 result cards from a partner search.</w:t>
            </w:r>
          </w:p>
        </w:tc>
        <w:tc>
          <w:tcPr>
            <w:tcW w:type="dxa" w:w="5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Swiggy, Zomato, Apollo, IRCTC, JustDial</w:t>
            </w:r>
          </w:p>
        </w:tc>
      </w:tr>
      <w:tr>
        <w:tc>
          <w:tcPr>
            <w:tcW w:type="dxa" w:w="1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ComparisonView</w:t>
            </w:r>
          </w:p>
        </w:tc>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Cross-partner comparison rows for the same canonical item.</w:t>
            </w:r>
          </w:p>
        </w:tc>
        <w:tc>
          <w:tcPr>
            <w:tcW w:type="dxa" w:w="5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Amazon × Flipkart × Croma pricing</w:t>
            </w:r>
          </w:p>
        </w:tc>
      </w:tr>
      <w:tr>
        <w:tc>
          <w:tcPr>
            <w:tcW w:type="dxa" w:w="1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SlotPickerView</w:t>
            </w:r>
          </w:p>
        </w:tc>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 slot / date picker for service appointments.</w:t>
            </w:r>
          </w:p>
        </w:tc>
        <w:tc>
          <w:tcPr>
            <w:tcW w:type="dxa" w:w="5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Apollo (consult slots), JioCare (callback slots)</w:t>
            </w:r>
          </w:p>
        </w:tc>
      </w:tr>
      <w:tr>
        <w:tc>
          <w:tcPr>
            <w:tcW w:type="dxa" w:w="1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CommitmentSummaryView</w:t>
            </w:r>
          </w:p>
        </w:tc>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Pre-commit prepared action card with full attributes.</w:t>
            </w:r>
          </w:p>
        </w:tc>
        <w:tc>
          <w:tcPr>
            <w:tcW w:type="dxa" w:w="5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Any Hard-financial commit — Swiggy order, IRCTC booking, JioPay bill</w:t>
            </w:r>
          </w:p>
        </w:tc>
      </w:tr>
      <w:tr>
        <w:tc>
          <w:tcPr>
            <w:tcW w:type="dxa" w:w="1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TrackingView</w:t>
            </w:r>
          </w:p>
        </w:tc>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 state of an in-flight order, journey, or process.</w:t>
            </w:r>
          </w:p>
        </w:tc>
        <w:tc>
          <w:tcPr>
            <w:tcW w:type="dxa" w:w="5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Swiggy delivery, IRCTC PNR, JioCare ticket</w:t>
            </w:r>
          </w:p>
        </w:tc>
      </w:tr>
      <w:tr>
        <w:tc>
          <w:tcPr>
            <w:tcW w:type="dxa" w:w="1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DetailView</w:t>
            </w:r>
          </w:p>
        </w:tc>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Full detail of a single entity (a doctor, a flight, a card).</w:t>
            </w:r>
          </w:p>
        </w:tc>
        <w:tc>
          <w:tcPr>
            <w:tcW w:type="dxa" w:w="5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Apollo doctor profile, Expedia flight detail</w:t>
            </w:r>
          </w:p>
        </w:tc>
      </w:tr>
      <w:tr>
        <w:tc>
          <w:tcPr>
            <w:tcW w:type="dxa" w:w="1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ListView</w:t>
            </w:r>
          </w:p>
        </w:tc>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Long-form list when DiscoveryView's 3–5 isn't enough.</w:t>
            </w:r>
          </w:p>
        </w:tc>
        <w:tc>
          <w:tcPr>
            <w:tcW w:type="dxa" w:w="5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Govt scheme list, full plan catalogue</w:t>
            </w:r>
          </w:p>
        </w:tc>
      </w:tr>
      <w:tr>
        <w:tc>
          <w:tcPr>
            <w:tcW w:type="dxa" w:w="1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StatusView</w:t>
            </w:r>
          </w:p>
        </w:tc>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Outcome-only render ("OTP sent", "booking confirmed").</w:t>
            </w:r>
          </w:p>
        </w:tc>
        <w:tc>
          <w:tcPr>
            <w:tcW w:type="dxa" w:w="5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SMS gateways, mandate confirmation</w:t>
            </w:r>
          </w:p>
        </w:tc>
      </w:tr>
    </w:tbl>
    <w:p>
      <w:pPr>
        <w:pStyle w:val="Heading1"/>
        <w:spacing w:after="120" w:before="360"/>
      </w:pPr>
      <w:r>
        <w:rPr>
          <w:rFonts w:ascii="Arial" w:cs="Arial" w:eastAsia="Arial" w:hAnsi="Arial"/>
          <w:b/>
          <w:bCs/>
          <w:color w:val="0C0D10"/>
          <w:sz w:val="32"/>
          <w:szCs w:val="32"/>
        </w:rPr>
        <w:t xml:space="preserve">5.  The adapter DSL</w:t>
      </w:r>
    </w:p>
    <w:p>
      <w:pPr>
        <w:spacing w:after="120" w:before="0" w:line="320"/>
        <w:jc w:val="left"/>
      </w:pPr>
      <w:r>
        <w:rPr>
          <w:rFonts w:ascii="Arial" w:cs="Arial" w:eastAsia="Arial" w:hAnsi="Arial"/>
          <w:b w:val="false"/>
          <w:bCs w:val="false"/>
          <w:i w:val="false"/>
          <w:iCs w:val="false"/>
          <w:color w:val="0C0D10"/>
          <w:sz w:val="22"/>
          <w:szCs w:val="22"/>
        </w:rPr>
        <w:t xml:space="preserve">Adapters translate the partner's raw response into a canonical primitive schema. JBIQ defines two adapter types: declarative (recommended) and imperative (fallback).</w:t>
      </w:r>
    </w:p>
    <w:p>
      <w:pPr>
        <w:pStyle w:val="Heading2"/>
        <w:spacing w:after="80" w:before="280"/>
      </w:pPr>
      <w:r>
        <w:rPr>
          <w:rFonts w:ascii="Arial" w:cs="Arial" w:eastAsia="Arial" w:hAnsi="Arial"/>
          <w:b/>
          <w:bCs/>
          <w:color w:val="0C0D10"/>
          <w:sz w:val="26"/>
          <w:szCs w:val="26"/>
        </w:rPr>
        <w:t xml:space="preserve">5.1  Declarative adapters</w:t>
      </w:r>
    </w:p>
    <w:p>
      <w:pPr>
        <w:pStyle w:val="ListParagraph"/>
        <w:numPr>
          <w:ilvl w:val="0"/>
          <w:numId w:val="2"/>
        </w:numPr>
        <w:spacing w:after="40" w:before="40" w:line="320"/>
      </w:pPr>
      <w:r>
        <w:rPr>
          <w:rFonts w:ascii="Arial" w:cs="Arial" w:eastAsia="Arial" w:hAnsi="Arial"/>
          <w:color w:val="0C0D10"/>
          <w:sz w:val="22"/>
          <w:szCs w:val="22"/>
        </w:rPr>
        <w:t xml:space="preserve">JSONPath expressions for source field selection.</w:t>
      </w:r>
    </w:p>
    <w:p>
      <w:pPr>
        <w:pStyle w:val="ListParagraph"/>
        <w:numPr>
          <w:ilvl w:val="0"/>
          <w:numId w:val="2"/>
        </w:numPr>
        <w:spacing w:after="40" w:before="40" w:line="320"/>
      </w:pPr>
      <w:r>
        <w:rPr>
          <w:rFonts w:ascii="Arial" w:cs="Arial" w:eastAsia="Arial" w:hAnsi="Arial"/>
          <w:color w:val="0C0D10"/>
          <w:sz w:val="22"/>
          <w:szCs w:val="22"/>
        </w:rPr>
        <w:t xml:space="preserve">A bounded transform vocabulary: format, concat, default, conditional, localise, currency, distance, datetime.</w:t>
      </w:r>
    </w:p>
    <w:p>
      <w:pPr>
        <w:pStyle w:val="ListParagraph"/>
        <w:numPr>
          <w:ilvl w:val="0"/>
          <w:numId w:val="2"/>
        </w:numPr>
        <w:spacing w:after="40" w:before="40" w:line="320"/>
      </w:pPr>
      <w:r>
        <w:rPr>
          <w:rFonts w:ascii="Arial" w:cs="Arial" w:eastAsia="Arial" w:hAnsi="Arial"/>
          <w:color w:val="0C0D10"/>
          <w:sz w:val="22"/>
          <w:szCs w:val="22"/>
        </w:rPr>
        <w:t xml:space="preserve">Output is always a canonical primitive schema; validated at registry time.</w:t>
      </w:r>
    </w:p>
    <w:p>
      <w:pPr>
        <w:pStyle w:val="ListParagraph"/>
        <w:numPr>
          <w:ilvl w:val="0"/>
          <w:numId w:val="2"/>
        </w:numPr>
        <w:spacing w:after="40" w:before="40" w:line="320"/>
      </w:pPr>
      <w:r>
        <w:rPr>
          <w:rFonts w:ascii="Arial" w:cs="Arial" w:eastAsia="Arial" w:hAnsi="Arial"/>
          <w:color w:val="0C0D10"/>
          <w:sz w:val="22"/>
          <w:szCs w:val="22"/>
        </w:rPr>
        <w:t xml:space="preserve">No executable code, no embedded scripting, no HTTP calls within the adapter.</w:t>
      </w:r>
    </w:p>
    <w:p>
      <w:pPr>
        <w:pStyle w:val="ListParagraph"/>
        <w:numPr>
          <w:ilvl w:val="0"/>
          <w:numId w:val="2"/>
        </w:numPr>
        <w:spacing w:after="40" w:before="40" w:line="320"/>
      </w:pPr>
      <w:r>
        <w:rPr>
          <w:rFonts w:ascii="Arial" w:cs="Arial" w:eastAsia="Arial" w:hAnsi="Arial"/>
          <w:color w:val="0C0D10"/>
          <w:sz w:val="22"/>
          <w:szCs w:val="22"/>
        </w:rPr>
        <w:t xml:space="preserve">Stateless — same input, same output, every time.</w:t>
      </w:r>
    </w:p>
    <w:p>
      <w:pPr>
        <w:pStyle w:val="Heading2"/>
        <w:spacing w:after="80" w:before="280"/>
      </w:pPr>
      <w:r>
        <w:rPr>
          <w:rFonts w:ascii="Arial" w:cs="Arial" w:eastAsia="Arial" w:hAnsi="Arial"/>
          <w:b/>
          <w:bCs/>
          <w:color w:val="0C0D10"/>
          <w:sz w:val="26"/>
          <w:szCs w:val="26"/>
        </w:rPr>
        <w:t xml:space="preserve">5.2  Imperative adapters (controlled fallback)</w:t>
      </w:r>
    </w:p>
    <w:p>
      <w:pPr>
        <w:pStyle w:val="ListParagraph"/>
        <w:numPr>
          <w:ilvl w:val="0"/>
          <w:numId w:val="2"/>
        </w:numPr>
        <w:spacing w:after="40" w:before="40" w:line="320"/>
      </w:pPr>
      <w:r>
        <w:rPr>
          <w:rFonts w:ascii="Arial" w:cs="Arial" w:eastAsia="Arial" w:hAnsi="Arial"/>
          <w:color w:val="0C0D10"/>
          <w:sz w:val="22"/>
          <w:szCs w:val="22"/>
        </w:rPr>
        <w:t xml:space="preserve">Partner registers an adapter_endpoint; JBIQ POSTs the raw partner response and the endpoint returns canonical primitive schema.</w:t>
      </w:r>
    </w:p>
    <w:p>
      <w:pPr>
        <w:pStyle w:val="ListParagraph"/>
        <w:numPr>
          <w:ilvl w:val="0"/>
          <w:numId w:val="2"/>
        </w:numPr>
        <w:spacing w:after="40" w:before="40" w:line="320"/>
      </w:pPr>
      <w:r>
        <w:rPr>
          <w:rFonts w:ascii="Arial" w:cs="Arial" w:eastAsia="Arial" w:hAnsi="Arial"/>
          <w:color w:val="0C0D10"/>
          <w:sz w:val="22"/>
          <w:szCs w:val="22"/>
        </w:rPr>
        <w:t xml:space="preserve">Used only when the response cannot be expressed declaratively.</w:t>
      </w:r>
    </w:p>
    <w:p>
      <w:pPr>
        <w:pStyle w:val="ListParagraph"/>
        <w:numPr>
          <w:ilvl w:val="0"/>
          <w:numId w:val="2"/>
        </w:numPr>
        <w:spacing w:after="40" w:before="40" w:line="320"/>
      </w:pPr>
      <w:r>
        <w:rPr>
          <w:rFonts w:ascii="Arial" w:cs="Arial" w:eastAsia="Arial" w:hAnsi="Arial"/>
          <w:color w:val="0C0D10"/>
          <w:sz w:val="22"/>
          <w:szCs w:val="22"/>
        </w:rPr>
        <w:t xml:space="preserve">Carries extended latency budget, mandatory security review, mandatory sandbox period before promotion to verified.</w:t>
      </w:r>
    </w:p>
    <w:p>
      <w:pPr>
        <w:pStyle w:val="Heading2"/>
        <w:spacing w:after="80" w:before="280"/>
      </w:pPr>
      <w:r>
        <w:rPr>
          <w:rFonts w:ascii="Arial" w:cs="Arial" w:eastAsia="Arial" w:hAnsi="Arial"/>
          <w:b/>
          <w:bCs/>
          <w:color w:val="0C0D10"/>
          <w:sz w:val="26"/>
          <w:szCs w:val="26"/>
        </w:rPr>
        <w:t xml:space="preserve">5.3  Worked adapter fragment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DECLARATIVE ADAPTER — SWIGGY.SEARCHRESTAURANTS → DISCOVERYVIEW (CAROUSEL)</w:t>
            </w:r>
          </w:p>
          <w:p>
            <w:pPr>
              <w:spacing w:after="60" w:line="320"/>
            </w:pPr>
            <w:r>
              <w:rPr>
                <w:rFonts w:ascii="Arial" w:cs="Arial" w:eastAsia="Arial" w:hAnsi="Arial"/>
                <w:color w:val="0C0D10"/>
                <w:sz w:val="22"/>
                <w:szCs w:val="22"/>
              </w:rPr>
              <w:t xml:space="preserve">items_path: $.restaurants</w:t>
            </w:r>
          </w:p>
          <w:p>
            <w:pPr>
              <w:spacing w:after="60" w:line="320"/>
            </w:pPr>
            <w:r>
              <w:rPr>
                <w:rFonts w:ascii="Arial" w:cs="Arial" w:eastAsia="Arial" w:hAnsi="Arial"/>
                <w:color w:val="0C0D10"/>
                <w:sz w:val="22"/>
                <w:szCs w:val="22"/>
              </w:rPr>
              <w:t xml:space="preserve">field_map:</w:t>
            </w:r>
          </w:p>
          <w:p>
            <w:pPr>
              <w:spacing w:after="60" w:line="320"/>
            </w:pPr>
            <w:r>
              <w:rPr>
                <w:rFonts w:ascii="Arial" w:cs="Arial" w:eastAsia="Arial" w:hAnsi="Arial"/>
                <w:color w:val="0C0D10"/>
                <w:sz w:val="22"/>
                <w:szCs w:val="22"/>
              </w:rPr>
              <w:t xml:space="preserve">  title       ← $.name</w:t>
            </w:r>
          </w:p>
          <w:p>
            <w:pPr>
              <w:spacing w:after="60" w:line="320"/>
            </w:pPr>
            <w:r>
              <w:rPr>
                <w:rFonts w:ascii="Arial" w:cs="Arial" w:eastAsia="Arial" w:hAnsi="Arial"/>
                <w:color w:val="0C0D10"/>
                <w:sz w:val="22"/>
                <w:szCs w:val="22"/>
              </w:rPr>
              <w:t xml:space="preserve">  subtitle    ← $.cuisineCsv</w:t>
            </w:r>
          </w:p>
          <w:p>
            <w:pPr>
              <w:spacing w:after="60" w:line="320"/>
            </w:pPr>
            <w:r>
              <w:rPr>
                <w:rFonts w:ascii="Arial" w:cs="Arial" w:eastAsia="Arial" w:hAnsi="Arial"/>
                <w:color w:val="0C0D10"/>
                <w:sz w:val="22"/>
                <w:szCs w:val="22"/>
              </w:rPr>
              <w:t xml:space="preserve">  anchor.distance ← $.distanceKm</w:t>
            </w:r>
          </w:p>
          <w:p>
            <w:pPr>
              <w:spacing w:after="60" w:line="320"/>
            </w:pPr>
            <w:r>
              <w:rPr>
                <w:rFonts w:ascii="Arial" w:cs="Arial" w:eastAsia="Arial" w:hAnsi="Arial"/>
                <w:color w:val="0C0D10"/>
                <w:sz w:val="22"/>
                <w:szCs w:val="22"/>
              </w:rPr>
              <w:t xml:space="preserve">  badges      ← [$.rating styled as rating, $.etaMinutes styled as eta]</w:t>
            </w:r>
          </w:p>
          <w:p>
            <w:pPr>
              <w:spacing w:after="60" w:line="320"/>
            </w:pPr>
            <w:r>
              <w:rPr>
                <w:rFonts w:ascii="Arial" w:cs="Arial" w:eastAsia="Arial" w:hAnsi="Arial"/>
                <w:color w:val="0C0D10"/>
                <w:sz w:val="22"/>
                <w:szCs w:val="22"/>
              </w:rPr>
              <w:t xml:space="preserve">  image       ← $.bannerUrl</w:t>
            </w:r>
          </w:p>
          <w:p>
            <w:pPr>
              <w:spacing w:after="60" w:line="320"/>
            </w:pPr>
            <w:r>
              <w:rPr>
                <w:rFonts w:ascii="Arial" w:cs="Arial" w:eastAsia="Arial" w:hAnsi="Arial"/>
                <w:color w:val="0C0D10"/>
                <w:sz w:val="22"/>
                <w:szCs w:val="22"/>
              </w:rPr>
              <w:t xml:space="preserve">  action      ← drill targeting tool swiggy.getMenu with restaurantId from $.id</w:t>
            </w:r>
          </w:p>
          <w:p>
            <w:pPr>
              <w:spacing w:after="60" w:line="320"/>
            </w:pPr>
            <w:r>
              <w:rPr>
                <w:rFonts w:ascii="Arial" w:cs="Arial" w:eastAsia="Arial" w:hAnsi="Arial"/>
                <w:i/>
                <w:iCs/>
                <w:color w:val="0C0D10"/>
                <w:sz w:val="22"/>
                <w:szCs w:val="22"/>
              </w:rPr>
              <w:t xml:space="preserve">The same shape, with different field paths, expresses apollo.searchDoctors and irctc.searchTrains. The primitive does not change. The system does not grow.</w:t>
            </w:r>
          </w:p>
        </w:tc>
      </w:tr>
    </w:tbl>
    <w:p>
      <w:pPr>
        <w:pStyle w:val="Heading1"/>
        <w:spacing w:after="120" w:before="360"/>
      </w:pPr>
      <w:r>
        <w:rPr>
          <w:rFonts w:ascii="Arial" w:cs="Arial" w:eastAsia="Arial" w:hAnsi="Arial"/>
          <w:b/>
          <w:bCs/>
          <w:color w:val="0C0D10"/>
          <w:sz w:val="32"/>
          <w:szCs w:val="32"/>
        </w:rPr>
        <w:t xml:space="preserve">6.  Commitment authority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RULE</w:t>
            </w:r>
          </w:p>
          <w:p>
            <w:pPr>
              <w:spacing w:after="60" w:line="320"/>
            </w:pPr>
            <w:r>
              <w:rPr>
                <w:rFonts w:ascii="Arial" w:cs="Arial" w:eastAsia="Arial" w:hAnsi="Arial"/>
                <w:b/>
                <w:bCs/>
                <w:color w:val="0C0D10"/>
                <w:sz w:val="22"/>
                <w:szCs w:val="22"/>
              </w:rPr>
              <w:t xml:space="preserve">JBIQ owns COMMITMENT_REQUIRED regardless of which partner fulfils the intent. Partners declare commitment_level and risk_tier in the manifest. JBIQ runs the canonical CommitmentSummaryView, brokers UPI / payments through the JBIQ payment broker, captures provenance to the Compliance Ledger, then dispatches the partner execute call with a tokenised payment reference. The partner never sees the UPI PIN.</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pStyle w:val="ListParagraph"/>
        <w:numPr>
          <w:ilvl w:val="0"/>
          <w:numId w:val="2"/>
        </w:numPr>
        <w:spacing w:after="40" w:before="40" w:line="320"/>
      </w:pPr>
      <w:r>
        <w:rPr>
          <w:rFonts w:ascii="Arial" w:cs="Arial" w:eastAsia="Arial" w:hAnsi="Arial"/>
          <w:color w:val="0C0D10"/>
          <w:sz w:val="22"/>
          <w:szCs w:val="22"/>
        </w:rPr>
        <w:t xml:space="preserve">Partner declares commitment_level: none, soft, hard-functional, hard-financial.</w:t>
      </w:r>
    </w:p>
    <w:p>
      <w:pPr>
        <w:pStyle w:val="ListParagraph"/>
        <w:numPr>
          <w:ilvl w:val="0"/>
          <w:numId w:val="2"/>
        </w:numPr>
        <w:spacing w:after="40" w:before="40" w:line="320"/>
      </w:pPr>
      <w:r>
        <w:rPr>
          <w:rFonts w:ascii="Arial" w:cs="Arial" w:eastAsia="Arial" w:hAnsi="Arial"/>
          <w:color w:val="0C0D10"/>
          <w:sz w:val="22"/>
          <w:szCs w:val="22"/>
        </w:rPr>
        <w:t xml:space="preserve">Partner declares risk_tier: low, medium, high (Ch. 8 §3, §5).</w:t>
      </w:r>
    </w:p>
    <w:p>
      <w:pPr>
        <w:pStyle w:val="ListParagraph"/>
        <w:numPr>
          <w:ilvl w:val="0"/>
          <w:numId w:val="2"/>
        </w:numPr>
        <w:spacing w:after="40" w:before="40" w:line="320"/>
      </w:pPr>
      <w:r>
        <w:rPr>
          <w:rFonts w:ascii="Arial" w:cs="Arial" w:eastAsia="Arial" w:hAnsi="Arial"/>
          <w:color w:val="0C0D10"/>
          <w:sz w:val="22"/>
          <w:szCs w:val="22"/>
        </w:rPr>
        <w:t xml:space="preserve">Partner may declare auth_floor higher than the tier defaults, never lower.</w:t>
      </w:r>
    </w:p>
    <w:p>
      <w:pPr>
        <w:pStyle w:val="ListParagraph"/>
        <w:numPr>
          <w:ilvl w:val="0"/>
          <w:numId w:val="2"/>
        </w:numPr>
        <w:spacing w:after="40" w:before="40" w:line="320"/>
      </w:pPr>
      <w:r>
        <w:rPr>
          <w:rFonts w:ascii="Arial" w:cs="Arial" w:eastAsia="Arial" w:hAnsi="Arial"/>
          <w:color w:val="0C0D10"/>
          <w:sz w:val="22"/>
          <w:szCs w:val="22"/>
        </w:rPr>
        <w:t xml:space="preserve">Partner may declare reversibility_window_seconds for soft / Semi-Auto flows.</w:t>
      </w:r>
    </w:p>
    <w:p>
      <w:pPr>
        <w:pStyle w:val="ListParagraph"/>
        <w:numPr>
          <w:ilvl w:val="0"/>
          <w:numId w:val="2"/>
        </w:numPr>
        <w:spacing w:after="40" w:before="40" w:line="320"/>
      </w:pPr>
      <w:r>
        <w:rPr>
          <w:rFonts w:ascii="Arial" w:cs="Arial" w:eastAsia="Arial" w:hAnsi="Arial"/>
          <w:color w:val="0C0D10"/>
          <w:sz w:val="22"/>
          <w:szCs w:val="22"/>
        </w:rPr>
        <w:t xml:space="preserve">Partner never renders their own checkout. Partner never sees PIN / OTP / full card. Partner never logs payment credentials.</w:t>
      </w:r>
    </w:p>
    <w:p>
      <w:pPr>
        <w:pStyle w:val="ListParagraph"/>
        <w:numPr>
          <w:ilvl w:val="0"/>
          <w:numId w:val="2"/>
        </w:numPr>
        <w:spacing w:after="40" w:before="40" w:line="320"/>
      </w:pPr>
      <w:r>
        <w:rPr>
          <w:rFonts w:ascii="Arial" w:cs="Arial" w:eastAsia="Arial" w:hAnsi="Arial"/>
          <w:color w:val="0C0D10"/>
          <w:sz w:val="22"/>
          <w:szCs w:val="22"/>
        </w:rPr>
        <w:t xml:space="preserve">Compliance Ledger writes are JBIQ-side and fail-closed — the partner action does not dispatch until the Ledger has written (Ch. 8 §9.3).</w:t>
      </w:r>
    </w:p>
    <w:p>
      <w:pPr>
        <w:pStyle w:val="Heading1"/>
        <w:spacing w:after="120" w:before="360"/>
      </w:pPr>
      <w:r>
        <w:rPr>
          <w:rFonts w:ascii="Arial" w:cs="Arial" w:eastAsia="Arial" w:hAnsi="Arial"/>
          <w:b/>
          <w:bCs/>
          <w:color w:val="0C0D10"/>
          <w:sz w:val="32"/>
          <w:szCs w:val="32"/>
        </w:rPr>
        <w:t xml:space="preserve">7.  The five resolution strategies</w:t>
      </w:r>
    </w:p>
    <w:p>
      <w:pPr>
        <w:spacing w:after="120" w:before="0" w:line="320"/>
        <w:jc w:val="left"/>
      </w:pPr>
      <w:r>
        <w:rPr>
          <w:rFonts w:ascii="Arial" w:cs="Arial" w:eastAsia="Arial" w:hAnsi="Arial"/>
          <w:b w:val="false"/>
          <w:bCs w:val="false"/>
          <w:i w:val="false"/>
          <w:iCs w:val="false"/>
          <w:color w:val="0C0D10"/>
          <w:sz w:val="22"/>
          <w:szCs w:val="22"/>
        </w:rPr>
        <w:t xml:space="preserve">When multiple partners can serve the same canonical intent, JBIQ chooses a resolution strategy. Each strategy has a use case, primitive compatibility, and transparency requirement.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800"/>
        <w:gridCol w:w="4380"/>
      </w:tblGrid>
      <w:tr>
        <w:trPr>
          <w:tblHeader/>
        </w:trPr>
        <w:tc>
          <w:tcPr>
            <w:tcW w:type="dxa" w:w="17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Use</w:t>
            </w:r>
          </w:p>
        </w:tc>
        <w:tc>
          <w:tcPr>
            <w:tcW w:type="dxa" w:w="1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Primitive compatibility</w:t>
            </w:r>
          </w:p>
        </w:tc>
        <w:tc>
          <w:tcPr>
            <w:tcW w:type="dxa" w:w="43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Single-Best</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Low-stakes, high-frequency. Choice fatigue would hurt UX.</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Any primitive.</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"Translate 'thank you' to Tamil" → one translation. Attribution + 'Why this?'.</w:t>
            </w:r>
          </w:p>
        </w:tc>
      </w:tr>
      <w:tr>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Merged</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Discovery and List primitives where breadth is the value.</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DiscoveryView, ListView, ComparisonView.</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"Restaurants near me" → Swiggy + Zomato + MagicPin intermixed by ranking, per-item badge.</w:t>
            </w:r>
          </w:p>
        </w:tc>
      </w:tr>
      <w:tr>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Stratified</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When merging would lose value (cross-partner pricing for the same item) or partner identity materially shapes the result.</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DiscoveryView, ComparisonView.</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"iPhone 15 price comparison" → Amazon, Flipkart, Croma each in their own labelled section.</w:t>
            </w:r>
          </w:p>
        </w:tc>
      </w:tr>
      <w:tr>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Choice-Gated</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High-stakes actions where partner identity materially affects outcome and the user has known preferences.</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Any primitive, typically gating a downstream CommitmentSummaryView.</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"Book a cab" → Ola, Uber, BluSmart as a picker; user selects; query dispatched.</w:t>
            </w:r>
          </w:p>
        </w:tc>
      </w:tr>
      <w:tr>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Sequential-Fallback</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Execution-only tools where partner identity does not affect outcome value.</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StatusView for outcomes; void_render for state mutation.</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"Send an OTP" → try primary SMS gateway → fall back to secondary → surface only success.</w:t>
            </w:r>
          </w:p>
        </w:tc>
      </w:tr>
    </w:tbl>
    <w:p>
      <w:pPr>
        <w:pStyle w:val="Heading1"/>
        <w:spacing w:after="120" w:before="360"/>
      </w:pPr>
      <w:r>
        <w:rPr>
          <w:rFonts w:ascii="Arial" w:cs="Arial" w:eastAsia="Arial" w:hAnsi="Arial"/>
          <w:b/>
          <w:bCs/>
          <w:color w:val="0C0D10"/>
          <w:sz w:val="32"/>
          <w:szCs w:val="32"/>
        </w:rPr>
        <w:t xml:space="preserve">8.  Ranking signal hierarchy</w:t>
      </w:r>
    </w:p>
    <w:p>
      <w:pPr>
        <w:spacing w:after="120" w:before="0" w:line="320"/>
        <w:jc w:val="left"/>
      </w:pPr>
      <w:r>
        <w:rPr>
          <w:rFonts w:ascii="Arial" w:cs="Arial" w:eastAsia="Arial" w:hAnsi="Arial"/>
          <w:b w:val="false"/>
          <w:bCs w:val="false"/>
          <w:i w:val="false"/>
          <w:iCs w:val="false"/>
          <w:color w:val="0C0D10"/>
          <w:sz w:val="22"/>
          <w:szCs w:val="22"/>
        </w:rPr>
        <w:t xml:space="preserve">Ranking signals are applied in fixed order. Higher signals dominate lower ones; lower signals act as tie-breakers within bands of higher-signal equivalence.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7280"/>
      </w:tblGrid>
      <w:tr>
        <w:trPr>
          <w:tblHeader/>
        </w:trPr>
        <w:tc>
          <w:tcPr>
            <w:tcW w:type="dxa" w:w="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72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Definition and decay</w:t>
            </w:r>
          </w:p>
        </w:tc>
      </w:tr>
      <w:tr>
        <w:tc>
          <w:tcPr>
            <w:tcW w:type="dxa" w:w="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Explicit user preference</w:t>
            </w:r>
          </w:p>
        </w:tc>
        <w:tc>
          <w:tcPr>
            <w:tcW w:type="dxa" w:w="7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User-set partner default for an intent class. Never decays unless user changes. Override-only.</w:t>
            </w:r>
          </w:p>
        </w:tc>
      </w:tr>
      <w:tr>
        <w:tc>
          <w:tcPr>
            <w:tcW w:type="dxa" w:w="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Autonomy-reinforced preference</w:t>
            </w:r>
          </w:p>
        </w:tc>
        <w:tc>
          <w:tcPr>
            <w:tcW w:type="dxa" w:w="7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Successful repeat completions in this intent class with this partner. Decays per Memory Model time-weighting (60-day half-life by default).</w:t>
            </w:r>
          </w:p>
        </w:tc>
      </w:tr>
      <w:tr>
        <w:tc>
          <w:tcPr>
            <w:tcW w:type="dxa" w:w="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3</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Domain context</w:t>
            </w:r>
          </w:p>
        </w:tc>
        <w:tc>
          <w:tcPr>
            <w:tcW w:type="dxa" w:w="7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Active assistant lens biases candidates within that domain. Session-scoped.</w:t>
            </w:r>
          </w:p>
        </w:tc>
      </w:tr>
      <w:tr>
        <w:tc>
          <w:tcPr>
            <w:tcW w:type="dxa" w:w="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4</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Locale match score</w:t>
            </w:r>
          </w:p>
        </w:tc>
        <w:tc>
          <w:tcPr>
            <w:tcW w:type="dxa" w:w="7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Partner's declared locale strength for the user's session locale.</w:t>
            </w:r>
          </w:p>
        </w:tc>
      </w:tr>
      <w:tr>
        <w:tc>
          <w:tcPr>
            <w:tcW w:type="dxa" w:w="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5</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SLA health score</w:t>
            </w:r>
          </w:p>
        </w:tc>
        <w:tc>
          <w:tcPr>
            <w:tcW w:type="dxa" w:w="7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Recent latency and availability vs declared SLA. Rolling 7-day window.</w:t>
            </w:r>
          </w:p>
        </w:tc>
      </w:tr>
      <w:tr>
        <w:tc>
          <w:tcPr>
            <w:tcW w:type="dxa" w:w="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6</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Result quality score</w:t>
            </w:r>
          </w:p>
        </w:tc>
        <w:tc>
          <w:tcPr>
            <w:tcW w:type="dxa" w:w="7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Item count, freshness, ratings density. Per-query.</w:t>
            </w:r>
          </w:p>
        </w:tc>
      </w:tr>
      <w:tr>
        <w:tc>
          <w:tcPr>
            <w:tcW w:type="dxa" w:w="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7</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equity adjustment</w:t>
            </w:r>
          </w:p>
        </w:tc>
        <w:tc>
          <w:tcPr>
            <w:tcW w:type="dxa" w:w="7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Cold-start budget for new partners. Monopoly cap dampening for over-represented partners.</w:t>
            </w:r>
          </w:p>
        </w:tc>
      </w:tr>
      <w:tr>
        <w:tc>
          <w:tcPr>
            <w:tcW w:type="dxa" w:w="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8</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Disclosed commercial signal</w:t>
            </w:r>
          </w:p>
        </w:tc>
        <w:tc>
          <w:tcPr>
            <w:tcW w:type="dxa" w:w="7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Lowest weight. Permitted only if disclosed in the user-facing transparency surface. Undisclosed bias is an invariant violation.</w:t>
            </w:r>
          </w:p>
        </w:tc>
      </w:tr>
    </w:tbl>
    <w:p>
      <w:pPr>
        <w:spacing w:after="120" w:before="120" w:line="320"/>
        <w:jc w:val="left"/>
      </w:pPr>
      <w:r>
        <w:rPr>
          <w:rFonts w:ascii="Arial" w:cs="Arial" w:eastAsia="Arial" w:hAnsi="Arial"/>
          <w:b w:val="false"/>
          <w:bCs w:val="false"/>
          <w:i/>
          <w:iCs/>
          <w:color w:val="55585E"/>
          <w:sz w:val="20"/>
          <w:szCs w:val="20"/>
        </w:rPr>
        <w:t xml:space="preserve">Demotion signals are time-decayed. The half-life of demotion is shorter than the half-life of promotion to avoid overcorrection from a single bad day.</w:t>
      </w:r>
    </w:p>
    <w:p>
      <w:pPr>
        <w:pStyle w:val="Heading1"/>
        <w:spacing w:after="120" w:before="360"/>
      </w:pPr>
      <w:r>
        <w:rPr>
          <w:rFonts w:ascii="Arial" w:cs="Arial" w:eastAsia="Arial" w:hAnsi="Arial"/>
          <w:b/>
          <w:bCs/>
          <w:color w:val="0C0D10"/>
          <w:sz w:val="32"/>
          <w:szCs w:val="32"/>
        </w:rPr>
        <w:t xml:space="preserve">9.  Partner equity rules</w:t>
      </w:r>
    </w:p>
    <w:p>
      <w:pPr>
        <w:spacing w:after="120" w:before="0" w:line="320"/>
        <w:jc w:val="left"/>
      </w:pPr>
      <w:r>
        <w:rPr>
          <w:rFonts w:ascii="Arial" w:cs="Arial" w:eastAsia="Arial" w:hAnsi="Arial"/>
          <w:b w:val="false"/>
          <w:bCs w:val="false"/>
          <w:i w:val="false"/>
          <w:iCs w:val="false"/>
          <w:color w:val="0C0D10"/>
          <w:sz w:val="22"/>
          <w:szCs w:val="22"/>
        </w:rPr>
        <w:t xml:space="preserve">Without equity rules, the autonomy reinforcement loop entrenches incumbents. New partners never receive enough traffic to demonstrate quality. The four equity rules keep the system open.</w:t>
      </w:r>
    </w:p>
    <w:p>
      <w:pPr>
        <w:pStyle w:val="Heading2"/>
        <w:spacing w:after="80" w:before="280"/>
      </w:pPr>
      <w:r>
        <w:rPr>
          <w:rFonts w:ascii="Arial" w:cs="Arial" w:eastAsia="Arial" w:hAnsi="Arial"/>
          <w:b/>
          <w:bCs/>
          <w:color w:val="0C0D10"/>
          <w:sz w:val="26"/>
          <w:szCs w:val="26"/>
        </w:rPr>
        <w:t xml:space="preserve">9.1  Cold-start budget</w:t>
      </w:r>
    </w:p>
    <w:p>
      <w:pPr>
        <w:spacing w:after="120" w:before="0" w:line="320"/>
        <w:jc w:val="left"/>
      </w:pPr>
      <w:r>
        <w:rPr>
          <w:rFonts w:ascii="Arial" w:cs="Arial" w:eastAsia="Arial" w:hAnsi="Arial"/>
          <w:b w:val="false"/>
          <w:bCs w:val="false"/>
          <w:i w:val="false"/>
          <w:iCs w:val="false"/>
          <w:color w:val="0C0D10"/>
          <w:sz w:val="22"/>
          <w:szCs w:val="22"/>
        </w:rPr>
        <w:t xml:space="preserve">A newly verified partner receives an exposure budget that artificially boosts their ranking for a bounded number of invocations or time window. The budget is consumed regardless of outcome, but quality outcomes accelerate transition into autonomy-reinforced ranking.</w:t>
      </w:r>
    </w:p>
    <w:p>
      <w:pPr>
        <w:pStyle w:val="Heading2"/>
        <w:spacing w:after="80" w:before="280"/>
      </w:pPr>
      <w:r>
        <w:rPr>
          <w:rFonts w:ascii="Arial" w:cs="Arial" w:eastAsia="Arial" w:hAnsi="Arial"/>
          <w:b/>
          <w:bCs/>
          <w:color w:val="0C0D10"/>
          <w:sz w:val="26"/>
          <w:szCs w:val="26"/>
        </w:rPr>
        <w:t xml:space="preserve">9.2  Monopoly cap</w:t>
      </w:r>
    </w:p>
    <w:p>
      <w:pPr>
        <w:spacing w:after="120" w:before="0" w:line="320"/>
        <w:jc w:val="left"/>
      </w:pPr>
      <w:r>
        <w:rPr>
          <w:rFonts w:ascii="Arial" w:cs="Arial" w:eastAsia="Arial" w:hAnsi="Arial"/>
          <w:b w:val="false"/>
          <w:bCs w:val="false"/>
          <w:i w:val="false"/>
          <w:iCs w:val="false"/>
          <w:color w:val="0C0D10"/>
          <w:sz w:val="22"/>
          <w:szCs w:val="22"/>
        </w:rPr>
        <w:t xml:space="preserve">No single partner may exceed a defined fulfilment share for a canonical intent within a session window unless the user has explicitly opted in. The cap preserves discoverability of alternatives even as autonomy reinforces a strong preference.</w:t>
      </w:r>
    </w:p>
    <w:p>
      <w:pPr>
        <w:pStyle w:val="Heading2"/>
        <w:spacing w:after="80" w:before="280"/>
      </w:pPr>
      <w:r>
        <w:rPr>
          <w:rFonts w:ascii="Arial" w:cs="Arial" w:eastAsia="Arial" w:hAnsi="Arial"/>
          <w:b/>
          <w:bCs/>
          <w:color w:val="0C0D10"/>
          <w:sz w:val="26"/>
          <w:szCs w:val="26"/>
        </w:rPr>
        <w:t xml:space="preserve">9.3  Demotion decay</w:t>
      </w:r>
    </w:p>
    <w:p>
      <w:pPr>
        <w:spacing w:after="120" w:before="0" w:line="320"/>
        <w:jc w:val="left"/>
      </w:pPr>
      <w:r>
        <w:rPr>
          <w:rFonts w:ascii="Arial" w:cs="Arial" w:eastAsia="Arial" w:hAnsi="Arial"/>
          <w:b w:val="false"/>
          <w:bCs w:val="false"/>
          <w:i w:val="false"/>
          <w:iCs w:val="false"/>
          <w:color w:val="0C0D10"/>
          <w:sz w:val="22"/>
          <w:szCs w:val="22"/>
        </w:rPr>
        <w:t xml:space="preserve">A partner that fails (timeout, error, user correction) is demoted in ranking. Demotion decays over time so a single failure does not banish a partner. Decay is asymmetric — faster than promotion decay — so the system recovers from incidents.</w:t>
      </w:r>
    </w:p>
    <w:p>
      <w:pPr>
        <w:pStyle w:val="Heading2"/>
        <w:spacing w:after="80" w:before="280"/>
      </w:pPr>
      <w:r>
        <w:rPr>
          <w:rFonts w:ascii="Arial" w:cs="Arial" w:eastAsia="Arial" w:hAnsi="Arial"/>
          <w:b/>
          <w:bCs/>
          <w:color w:val="0C0D10"/>
          <w:sz w:val="26"/>
          <w:szCs w:val="26"/>
        </w:rPr>
        <w:t xml:space="preserve">9.4  Suppression visibility</w:t>
      </w:r>
    </w:p>
    <w:p>
      <w:pPr>
        <w:spacing w:after="120" w:before="0" w:line="320"/>
        <w:jc w:val="left"/>
      </w:pPr>
      <w:r>
        <w:rPr>
          <w:rFonts w:ascii="Arial" w:cs="Arial" w:eastAsia="Arial" w:hAnsi="Arial"/>
          <w:b w:val="false"/>
          <w:bCs w:val="false"/>
          <w:i w:val="false"/>
          <w:iCs w:val="false"/>
          <w:color w:val="0C0D10"/>
          <w:sz w:val="22"/>
          <w:szCs w:val="22"/>
        </w:rPr>
        <w:t xml:space="preserve">If a partner is filtered out of a candidate set (SLA breach, locale mismatch), the user must be able to see this on demand. Suppression is never permanent without explicit user action.</w:t>
      </w:r>
    </w:p>
    <w:p>
      <w:pPr>
        <w:pStyle w:val="Heading1"/>
        <w:spacing w:after="120" w:before="360"/>
      </w:pPr>
      <w:r>
        <w:rPr>
          <w:rFonts w:ascii="Arial" w:cs="Arial" w:eastAsia="Arial" w:hAnsi="Arial"/>
          <w:b/>
          <w:bCs/>
          <w:color w:val="0C0D10"/>
          <w:sz w:val="32"/>
          <w:szCs w:val="32"/>
        </w:rPr>
        <w:t xml:space="preserve">10.  Transparency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LEARNING IS BOUNDED BY TRANSPARENCY</w:t>
            </w:r>
          </w:p>
          <w:p>
            <w:pPr>
              <w:spacing w:after="60" w:line="320"/>
            </w:pPr>
            <w:r>
              <w:rPr>
                <w:rFonts w:ascii="Arial" w:cs="Arial" w:eastAsia="Arial" w:hAnsi="Arial"/>
                <w:b/>
                <w:bCs/>
                <w:color w:val="0C0D10"/>
                <w:sz w:val="22"/>
                <w:szCs w:val="22"/>
              </w:rPr>
              <w:t xml:space="preserve">Every learned ranking decision must be inspectable. Every learned preference must be correctable. Every learned default must be reversible. A user who cannot find out why a particular partner was chosen, or who cannot easily change that choice, has lost agency without knowing it.</w:t>
            </w:r>
          </w:p>
        </w:tc>
      </w:tr>
    </w:tbl>
    <w:p>
      <w:pPr>
        <w:pStyle w:val="Heading2"/>
        <w:spacing w:after="80" w:before="280"/>
      </w:pPr>
      <w:r>
        <w:rPr>
          <w:rFonts w:ascii="Arial" w:cs="Arial" w:eastAsia="Arial" w:hAnsi="Arial"/>
          <w:b/>
          <w:bCs/>
          <w:color w:val="0C0D10"/>
          <w:sz w:val="26"/>
          <w:szCs w:val="26"/>
        </w:rPr>
        <w:t xml:space="preserve">10.1  Attribution per render</w:t>
      </w:r>
    </w:p>
    <w:p>
      <w:pPr>
        <w:spacing w:after="120" w:before="0" w:line="320"/>
        <w:jc w:val="left"/>
      </w:pPr>
      <w:r>
        <w:rPr>
          <w:rFonts w:ascii="Arial" w:cs="Arial" w:eastAsia="Arial" w:hAnsi="Arial"/>
          <w:b w:val="false"/>
          <w:bCs w:val="false"/>
          <w:i w:val="false"/>
          <w:iCs w:val="false"/>
          <w:color w:val="0C0D10"/>
          <w:sz w:val="22"/>
          <w:szCs w:val="22"/>
        </w:rPr>
        <w:t xml:space="preserve">Every partner-fulfilled output renders with partner attribution per Manifest §4.2. Attribution is non-negotiable regardless of strategy. The attribution is the badge, the surface_text ("via Swiggy"), and the partner mark in the card title row.</w:t>
      </w:r>
    </w:p>
    <w:p>
      <w:pPr>
        <w:pStyle w:val="Heading2"/>
        <w:spacing w:after="80" w:before="280"/>
      </w:pPr>
      <w:r>
        <w:rPr>
          <w:rFonts w:ascii="Arial" w:cs="Arial" w:eastAsia="Arial" w:hAnsi="Arial"/>
          <w:b/>
          <w:bCs/>
          <w:color w:val="0C0D10"/>
          <w:sz w:val="26"/>
          <w:szCs w:val="26"/>
        </w:rPr>
        <w:t xml:space="preserve">10.2  "Why this result?"</w:t>
      </w:r>
    </w:p>
    <w:p>
      <w:pPr>
        <w:spacing w:after="120" w:before="0" w:line="320"/>
        <w:jc w:val="left"/>
      </w:pPr>
      <w:r>
        <w:rPr>
          <w:rFonts w:ascii="Arial" w:cs="Arial" w:eastAsia="Arial" w:hAnsi="Arial"/>
          <w:b w:val="false"/>
          <w:bCs w:val="false"/>
          <w:i w:val="false"/>
          <w:iCs w:val="false"/>
          <w:color w:val="0C0D10"/>
          <w:sz w:val="22"/>
          <w:szCs w:val="22"/>
        </w:rPr>
        <w:t xml:space="preserve">Every partner-fulfilled output supports a "why this?" query that returns plain-language ranking explanation.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EXAMPLE</w:t>
            </w:r>
          </w:p>
          <w:p>
            <w:pPr>
              <w:spacing w:after="60" w:line="320"/>
            </w:pPr>
            <w:r>
              <w:rPr>
                <w:rFonts w:ascii="Arial" w:cs="Arial" w:eastAsia="Arial" w:hAnsi="Arial"/>
                <w:color w:val="0C0D10"/>
                <w:sz w:val="22"/>
                <w:szCs w:val="22"/>
              </w:rPr>
              <w:t xml:space="preserve">"Showing this because you've ordered from Swiggy 12 times in the last month, and they had the fastest delivery estimate for your area."</w:t>
            </w:r>
          </w:p>
        </w:tc>
      </w:tr>
    </w:tbl>
    <w:p>
      <w:pPr>
        <w:pStyle w:val="Heading2"/>
        <w:spacing w:after="80" w:before="280"/>
      </w:pPr>
      <w:r>
        <w:rPr>
          <w:rFonts w:ascii="Arial" w:cs="Arial" w:eastAsia="Arial" w:hAnsi="Arial"/>
          <w:b/>
          <w:bCs/>
          <w:color w:val="0C0D10"/>
          <w:sz w:val="26"/>
          <w:szCs w:val="26"/>
        </w:rPr>
        <w:t xml:space="preserve">10.3  Partner Preferences surface</w:t>
      </w:r>
    </w:p>
    <w:p>
      <w:pPr>
        <w:spacing w:after="120" w:before="0" w:line="320"/>
        <w:jc w:val="left"/>
      </w:pPr>
      <w:r>
        <w:rPr>
          <w:rFonts w:ascii="Arial" w:cs="Arial" w:eastAsia="Arial" w:hAnsi="Arial"/>
          <w:b w:val="false"/>
          <w:bCs w:val="false"/>
          <w:i w:val="false"/>
          <w:iCs w:val="false"/>
          <w:color w:val="0C0D10"/>
          <w:sz w:val="22"/>
          <w:szCs w:val="22"/>
        </w:rPr>
        <w:t xml:space="preserve">A user-accessible surface listing per-domain partner preferences. Editable. Resettable. Per-domain, never global. Reachable from any partner-fulfilled output via "Why this result?" → "Manage preferences".</w:t>
      </w:r>
    </w:p>
    <w:p>
      <w:pPr>
        <w:pStyle w:val="Heading2"/>
        <w:spacing w:after="80" w:before="280"/>
      </w:pPr>
      <w:r>
        <w:rPr>
          <w:rFonts w:ascii="Arial" w:cs="Arial" w:eastAsia="Arial" w:hAnsi="Arial"/>
          <w:b/>
          <w:bCs/>
          <w:color w:val="0C0D10"/>
          <w:sz w:val="26"/>
          <w:szCs w:val="26"/>
        </w:rPr>
        <w:t xml:space="preserve">10.4  Disclosed commercial influence</w:t>
      </w:r>
    </w:p>
    <w:p>
      <w:pPr>
        <w:spacing w:after="120" w:before="0" w:line="320"/>
        <w:jc w:val="left"/>
      </w:pPr>
      <w:r>
        <w:rPr>
          <w:rFonts w:ascii="Arial" w:cs="Arial" w:eastAsia="Arial" w:hAnsi="Arial"/>
          <w:b w:val="false"/>
          <w:bCs w:val="false"/>
          <w:i w:val="false"/>
          <w:iCs w:val="false"/>
          <w:color w:val="0C0D10"/>
          <w:sz w:val="22"/>
          <w:szCs w:val="22"/>
        </w:rPr>
        <w:t xml:space="preserve">Any commercial weighting applied to ranking must be disclosed within the transparency surface. The disclosure must be in plain language, not buried in terms of service. Undisclosed commercial bias is an invariant violation.</w:t>
      </w:r>
    </w:p>
    <w:p>
      <w:pPr>
        <w:pStyle w:val="Heading2"/>
        <w:spacing w:after="80" w:before="280"/>
      </w:pPr>
      <w:r>
        <w:rPr>
          <w:rFonts w:ascii="Arial" w:cs="Arial" w:eastAsia="Arial" w:hAnsi="Arial"/>
          <w:b/>
          <w:bCs/>
          <w:color w:val="0C0D10"/>
          <w:sz w:val="26"/>
          <w:szCs w:val="26"/>
        </w:rPr>
        <w:t xml:space="preserve">10.5  Audit log</w:t>
      </w:r>
    </w:p>
    <w:p>
      <w:pPr>
        <w:spacing w:after="120" w:before="0" w:line="320"/>
        <w:jc w:val="left"/>
      </w:pPr>
      <w:r>
        <w:rPr>
          <w:rFonts w:ascii="Arial" w:cs="Arial" w:eastAsia="Arial" w:hAnsi="Arial"/>
          <w:b w:val="false"/>
          <w:bCs w:val="false"/>
          <w:i w:val="false"/>
          <w:iCs w:val="false"/>
          <w:color w:val="0C0D10"/>
          <w:sz w:val="22"/>
          <w:szCs w:val="22"/>
        </w:rPr>
        <w:t xml:space="preserve">Resolution decisions for high-stakes intents are logged in the Compliance Ledger with a reasoning trace: candidate set, applied filters, ranking signals, chosen strategy, fulfilment outcome.</w:t>
      </w:r>
    </w:p>
    <w:p>
      <w:pPr>
        <w:pStyle w:val="Heading1"/>
        <w:spacing w:after="120" w:before="360"/>
      </w:pPr>
      <w:r>
        <w:rPr>
          <w:rFonts w:ascii="Arial" w:cs="Arial" w:eastAsia="Arial" w:hAnsi="Arial"/>
          <w:b/>
          <w:bCs/>
          <w:color w:val="0C0D10"/>
          <w:sz w:val="32"/>
          <w:szCs w:val="32"/>
        </w:rPr>
        <w:t xml:space="preserve">11.  Partner anti-patterns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rPr>
          <w:tblHeader/>
        </w:trPr>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Bad pattern</w:t>
            </w:r>
          </w:p>
        </w:tc>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Why it violates</w:t>
            </w:r>
          </w:p>
        </w:tc>
        <w:tc>
          <w:tcPr>
            <w:tcW w:type="dxa" w:w="5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Correct pattern</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JSX / HTML in adapter output</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Violates the canonical primitive contract.</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Declare against a canonical primitive; JBIQ renders.</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Partner's checkout inside JBIQ</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Violates commitment authority.</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Declare commitment_level; JBIQ brokers the commitment.</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Hardcoded English strings in display fields</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Violates locale invariants and Ch. 6 parity.</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 localised string maps for every user-visible field.</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Omitting signals_required</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Tool fires when context is insufficient.</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Declare every consumed signal explicitly.</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Partner-side memory write</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Violates Memory Model mutation rules.</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Declare signals_produced; JBIQ mediates.</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branding as surface header</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Violates branding-as-content rule.</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 attribution glyph and surface_text only.</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Storing OTP / PIN / Aadhaar in adapter logs</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Violates RBI, DPDP, and Ch. 8 §7.</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Tokenise; never persist credentials anywhere in the partner path.</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Silent commercial bias in ranking</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Violates invariant; transparency rule (§10.4).</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Apply commercial weighting only as the lowest signal and disclose it.</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Cross-partner data leakage</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Violates invariant 9.</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data is session-scoped and never enriches a different partner's invocation.</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Silent partner switch mid-flow</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Breaks user trust and provenance.</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Surface the switch explicitly; require re-confirmation if commitment is pending.</w:t>
            </w:r>
          </w:p>
        </w:tc>
      </w:tr>
    </w:tbl>
    <w:p>
      <w:pPr>
        <w:pStyle w:val="Heading1"/>
        <w:spacing w:after="120" w:before="360"/>
      </w:pPr>
      <w:r>
        <w:rPr>
          <w:rFonts w:ascii="Arial" w:cs="Arial" w:eastAsia="Arial" w:hAnsi="Arial"/>
          <w:b/>
          <w:bCs/>
          <w:color w:val="0C0D10"/>
          <w:sz w:val="32"/>
          <w:szCs w:val="32"/>
        </w:rPr>
        <w:t xml:space="preserve">12.  Vertical Lift — the GA-added agentic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Vertical Lift is the internal-build counterpart to the partner manifest. A validated use case becomes a live signature experience in 7 days via agentic build against playbook primitives. Design enters at validation, exits at primitives ship, re-enters at signature-experience review. 2+ net-new signature experiences per month at steady state.</w:t>
            </w:r>
          </w:p>
        </w:tc>
      </w:tr>
    </w:tbl>
    <w:p>
      <w:pPr>
        <w:pStyle w:val="Heading2"/>
        <w:spacing w:after="80" w:before="280"/>
      </w:pPr>
      <w:r>
        <w:rPr>
          <w:rFonts w:ascii="Arial" w:cs="Arial" w:eastAsia="Arial" w:hAnsi="Arial"/>
          <w:b/>
          <w:bCs/>
          <w:color w:val="0C0D10"/>
          <w:sz w:val="26"/>
          <w:szCs w:val="26"/>
        </w:rPr>
        <w:t xml:space="preserve">12.1  The 7-day 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400"/>
        <w:gridCol w:w="5480"/>
      </w:tblGrid>
      <w:tr>
        <w:trPr>
          <w:tblHeader/>
        </w:trPr>
        <w:tc>
          <w:tcPr>
            <w:tcW w:type="dxa" w:w="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7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5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1–2</w:t>
            </w:r>
          </w:p>
        </w:tc>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Validated use case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UXR + vertical PM</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Demand evidence, intent set drafted, success criteria.</w:t>
            </w:r>
          </w:p>
        </w:tc>
      </w:tr>
      <w:tr>
        <w:tc>
          <w:tcPr>
            <w:tcW w:type="dxa" w:w="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3–4</w:t>
            </w:r>
          </w:p>
        </w:tc>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Primitives instantiated</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Design (Core Experience + vertical) + AI</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Existing playbook primitives composed; gaps filled by Design Ops.</w:t>
            </w:r>
          </w:p>
        </w:tc>
      </w:tr>
      <w:tr>
        <w:tc>
          <w:tcPr>
            <w:tcW w:type="dxa" w:w="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5</w:t>
            </w:r>
          </w:p>
        </w:tc>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Agent build</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Vertical Lift agent + AI Core</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Intent assembly, eval harness, build scaffolding.</w:t>
            </w:r>
          </w:p>
        </w:tc>
      </w:tr>
      <w:tr>
        <w:tc>
          <w:tcPr>
            <w:tcW w:type="dxa" w:w="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6</w:t>
            </w:r>
          </w:p>
        </w:tc>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Eval gate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Quality + Localisation + Compliance</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Quality bar checked; per-language parity verified; guardrails verified.</w:t>
            </w:r>
          </w:p>
        </w:tc>
      </w:tr>
      <w:tr>
        <w:tc>
          <w:tcPr>
            <w:tcW w:type="dxa" w:w="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7</w:t>
            </w:r>
          </w:p>
        </w:tc>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Vertical PM + Core Experience</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Signature experience ships; lifecycle home picks it up.</w:t>
            </w:r>
          </w:p>
        </w:tc>
      </w:tr>
    </w:tbl>
    <w:p>
      <w:pPr>
        <w:pStyle w:val="Heading2"/>
        <w:spacing w:after="80" w:before="280"/>
      </w:pPr>
      <w:r>
        <w:rPr>
          <w:rFonts w:ascii="Arial" w:cs="Arial" w:eastAsia="Arial" w:hAnsi="Arial"/>
          <w:b/>
          <w:bCs/>
          <w:color w:val="0C0D10"/>
          <w:sz w:val="26"/>
          <w:szCs w:val="26"/>
        </w:rPr>
        <w:t xml:space="preserve">12.2  Primitives the playbook hands to agents</w:t>
      </w:r>
    </w:p>
    <w:p>
      <w:pPr>
        <w:pStyle w:val="ListParagraph"/>
        <w:numPr>
          <w:ilvl w:val="0"/>
          <w:numId w:val="2"/>
        </w:numPr>
        <w:spacing w:after="40" w:before="40" w:line="320"/>
      </w:pPr>
      <w:r>
        <w:rPr>
          <w:rFonts w:ascii="Arial" w:cs="Arial" w:eastAsia="Arial" w:hAnsi="Arial"/>
          <w:color w:val="0C0D10"/>
          <w:sz w:val="22"/>
          <w:szCs w:val="22"/>
        </w:rPr>
        <w:t xml:space="preserve">Intent set templates per intent shape (Ch. 4 §3).</w:t>
      </w:r>
    </w:p>
    <w:p>
      <w:pPr>
        <w:pStyle w:val="ListParagraph"/>
        <w:numPr>
          <w:ilvl w:val="0"/>
          <w:numId w:val="2"/>
        </w:numPr>
        <w:spacing w:after="40" w:before="40" w:line="320"/>
      </w:pPr>
      <w:r>
        <w:rPr>
          <w:rFonts w:ascii="Arial" w:cs="Arial" w:eastAsia="Arial" w:hAnsi="Arial"/>
          <w:color w:val="0C0D10"/>
          <w:sz w:val="22"/>
          <w:szCs w:val="22"/>
        </w:rPr>
        <w:t xml:space="preserve">Evaluation harnesses per intent shape and per language.</w:t>
      </w:r>
    </w:p>
    <w:p>
      <w:pPr>
        <w:pStyle w:val="ListParagraph"/>
        <w:numPr>
          <w:ilvl w:val="0"/>
          <w:numId w:val="2"/>
        </w:numPr>
        <w:spacing w:after="40" w:before="40" w:line="320"/>
      </w:pPr>
      <w:r>
        <w:rPr>
          <w:rFonts w:ascii="Arial" w:cs="Arial" w:eastAsia="Arial" w:hAnsi="Arial"/>
          <w:color w:val="0C0D10"/>
          <w:sz w:val="22"/>
          <w:szCs w:val="22"/>
        </w:rPr>
        <w:t xml:space="preserve">Build scaffolding — response anatomy renderers, refinement chip generators, edge affordance composers.</w:t>
      </w:r>
    </w:p>
    <w:p>
      <w:pPr>
        <w:pStyle w:val="ListParagraph"/>
        <w:numPr>
          <w:ilvl w:val="0"/>
          <w:numId w:val="2"/>
        </w:numPr>
        <w:spacing w:after="40" w:before="40" w:line="320"/>
      </w:pPr>
      <w:r>
        <w:rPr>
          <w:rFonts w:ascii="Arial" w:cs="Arial" w:eastAsia="Arial" w:hAnsi="Arial"/>
          <w:color w:val="0C0D10"/>
          <w:sz w:val="22"/>
          <w:szCs w:val="22"/>
        </w:rPr>
        <w:t xml:space="preserve">Persona templates for cinematic experiences (Ch. 5 §12).</w:t>
      </w:r>
    </w:p>
    <w:p>
      <w:pPr>
        <w:pStyle w:val="ListParagraph"/>
        <w:numPr>
          <w:ilvl w:val="0"/>
          <w:numId w:val="2"/>
        </w:numPr>
        <w:spacing w:after="40" w:before="40" w:line="320"/>
      </w:pPr>
      <w:r>
        <w:rPr>
          <w:rFonts w:ascii="Arial" w:cs="Arial" w:eastAsia="Arial" w:hAnsi="Arial"/>
          <w:color w:val="0C0D10"/>
          <w:sz w:val="22"/>
          <w:szCs w:val="22"/>
        </w:rPr>
        <w:t xml:space="preserve">Repair vocabulary per language (Ch. 9 §11).</w:t>
      </w:r>
    </w:p>
    <w:p>
      <w:pPr>
        <w:pStyle w:val="ListParagraph"/>
        <w:numPr>
          <w:ilvl w:val="0"/>
          <w:numId w:val="2"/>
        </w:numPr>
        <w:spacing w:after="40" w:before="40" w:line="320"/>
      </w:pPr>
      <w:r>
        <w:rPr>
          <w:rFonts w:ascii="Arial" w:cs="Arial" w:eastAsia="Arial" w:hAnsi="Arial"/>
          <w:color w:val="0C0D10"/>
          <w:sz w:val="22"/>
          <w:szCs w:val="22"/>
        </w:rPr>
        <w:t xml:space="preserve">Memory-write declarations and consent-gate templates (Ch. 7).</w:t>
      </w:r>
    </w:p>
    <w:p>
      <w:pPr>
        <w:pStyle w:val="ListParagraph"/>
        <w:numPr>
          <w:ilvl w:val="0"/>
          <w:numId w:val="2"/>
        </w:numPr>
        <w:spacing w:after="40" w:before="40" w:line="320"/>
      </w:pPr>
      <w:r>
        <w:rPr>
          <w:rFonts w:ascii="Arial" w:cs="Arial" w:eastAsia="Arial" w:hAnsi="Arial"/>
          <w:color w:val="0C0D10"/>
          <w:sz w:val="22"/>
          <w:szCs w:val="22"/>
        </w:rPr>
        <w:t xml:space="preserve">Commitment surface scaffolding (Ch. 8 §4).</w:t>
      </w:r>
    </w:p>
    <w:p>
      <w:pPr>
        <w:pStyle w:val="Heading2"/>
        <w:spacing w:after="80" w:before="280"/>
      </w:pPr>
      <w:r>
        <w:rPr>
          <w:rFonts w:ascii="Arial" w:cs="Arial" w:eastAsia="Arial" w:hAnsi="Arial"/>
          <w:b/>
          <w:bCs/>
          <w:color w:val="0C0D10"/>
          <w:sz w:val="26"/>
          <w:szCs w:val="26"/>
        </w:rPr>
        <w:t xml:space="preserve">12.3  What agents can and cannot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rPr>
          <w:tblHeader/>
        </w:trPr>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Agent-permitted?</w:t>
            </w:r>
          </w:p>
        </w:tc>
        <w:tc>
          <w:tcPr>
            <w:tcW w:type="dxa" w:w="52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Compose new signature experience from existing primitives</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Yes</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 whole point of Vertical Lift.</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Introduce a new canonical intent shape</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w:t>
            </w:r>
          </w:p>
        </w:tc>
        <w:tc>
          <w:tcPr>
            <w:tcW w:type="dxa" w:w="5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Canonical intents are governed by Ch. 4 §3; expansion requires playbook revision.</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Introduce a new output primitive</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Canonical primitives are governed by §4; expansion requires manifest revision.</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Author per-language repair vocabulary entries</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Suggest, not commit</w:t>
            </w:r>
          </w:p>
        </w:tc>
        <w:tc>
          <w:tcPr>
            <w:tcW w:type="dxa" w:w="5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reviews and signs off.</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Define new memory signals</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signals are governed by Conversation History Model.</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Lower an auth floor</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w:t>
            </w:r>
          </w:p>
        </w:tc>
        <w:tc>
          <w:tcPr>
            <w:tcW w:type="dxa" w:w="5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Hard rule — auth floors only raise (Ch. 8 §5).</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Compose partner-fulfilled flows with multiple partners</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Yes</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Resolution-strategy choice is permitted within §7.</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Skip UXR validation</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 for first version of the experience.</w:t>
            </w:r>
          </w:p>
        </w:tc>
        <w:tc>
          <w:tcPr>
            <w:tcW w:type="dxa" w:w="5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Iteration loops post-launch may run with lighter UXR per the velocity-vs-validation reconciliation.</w:t>
            </w:r>
          </w:p>
        </w:tc>
      </w:tr>
    </w:tbl>
    <w:p>
      <w:pPr>
        <w:pStyle w:val="Heading2"/>
        <w:spacing w:after="80" w:before="280"/>
      </w:pPr>
      <w:r>
        <w:rPr>
          <w:rFonts w:ascii="Arial" w:cs="Arial" w:eastAsia="Arial" w:hAnsi="Arial"/>
          <w:b/>
          <w:bCs/>
          <w:color w:val="0C0D10"/>
          <w:sz w:val="26"/>
          <w:szCs w:val="26"/>
        </w:rPr>
        <w:t xml:space="preserve">12.4  Design SLA against the 7-day cycle</w:t>
      </w:r>
    </w:p>
    <w:p>
      <w:pPr>
        <w:pStyle w:val="ListParagraph"/>
        <w:numPr>
          <w:ilvl w:val="0"/>
          <w:numId w:val="2"/>
        </w:numPr>
        <w:spacing w:after="40" w:before="40" w:line="320"/>
      </w:pPr>
      <w:r>
        <w:rPr>
          <w:rFonts w:ascii="Arial" w:cs="Arial" w:eastAsia="Arial" w:hAnsi="Arial"/>
          <w:color w:val="0C0D10"/>
          <w:sz w:val="22"/>
          <w:szCs w:val="22"/>
        </w:rPr>
        <w:t xml:space="preserve">Design enters at Day 1–2 to confirm the use case maps to existing primitives.</w:t>
      </w:r>
    </w:p>
    <w:p>
      <w:pPr>
        <w:pStyle w:val="ListParagraph"/>
        <w:numPr>
          <w:ilvl w:val="0"/>
          <w:numId w:val="2"/>
        </w:numPr>
        <w:spacing w:after="40" w:before="40" w:line="320"/>
      </w:pPr>
      <w:r>
        <w:rPr>
          <w:rFonts w:ascii="Arial" w:cs="Arial" w:eastAsia="Arial" w:hAnsi="Arial"/>
          <w:color w:val="0C0D10"/>
          <w:sz w:val="22"/>
          <w:szCs w:val="22"/>
        </w:rPr>
        <w:t xml:space="preserve">Design exits at Day 3–4 once primitives are confirmed and any gaps are filled.</w:t>
      </w:r>
    </w:p>
    <w:p>
      <w:pPr>
        <w:pStyle w:val="ListParagraph"/>
        <w:numPr>
          <w:ilvl w:val="0"/>
          <w:numId w:val="2"/>
        </w:numPr>
        <w:spacing w:after="40" w:before="40" w:line="320"/>
      </w:pPr>
      <w:r>
        <w:rPr>
          <w:rFonts w:ascii="Arial" w:cs="Arial" w:eastAsia="Arial" w:hAnsi="Arial"/>
          <w:color w:val="0C0D10"/>
          <w:sz w:val="22"/>
          <w:szCs w:val="22"/>
        </w:rPr>
        <w:t xml:space="preserve">Design re-enters at Day 6 to review the agent's render output against the quality bar.</w:t>
      </w:r>
    </w:p>
    <w:p>
      <w:pPr>
        <w:pStyle w:val="ListParagraph"/>
        <w:numPr>
          <w:ilvl w:val="0"/>
          <w:numId w:val="2"/>
        </w:numPr>
        <w:spacing w:after="40" w:before="40" w:line="320"/>
      </w:pPr>
      <w:r>
        <w:rPr>
          <w:rFonts w:ascii="Arial" w:cs="Arial" w:eastAsia="Arial" w:hAnsi="Arial"/>
          <w:color w:val="0C0D10"/>
          <w:sz w:val="22"/>
          <w:szCs w:val="22"/>
        </w:rPr>
        <w:t xml:space="preserve">Design re-enters at Day 7 for go / no-go signature-experience review.</w:t>
      </w:r>
    </w:p>
    <w:p>
      <w:pPr>
        <w:pStyle w:val="ListParagraph"/>
        <w:numPr>
          <w:ilvl w:val="0"/>
          <w:numId w:val="2"/>
        </w:numPr>
        <w:spacing w:after="40" w:before="40" w:line="320"/>
      </w:pPr>
      <w:r>
        <w:rPr>
          <w:rFonts w:ascii="Arial" w:cs="Arial" w:eastAsia="Arial" w:hAnsi="Arial"/>
          <w:color w:val="0C0D10"/>
          <w:sz w:val="22"/>
          <w:szCs w:val="22"/>
        </w:rPr>
        <w:t xml:space="preserve">Design does not block the build between Day 4 and Day 6 — the agent runs, the eval gate catches issues, design reviews outputs.</w:t>
      </w:r>
    </w:p>
    <w:p>
      <w:pPr>
        <w:pStyle w:val="Heading1"/>
        <w:spacing w:after="120" w:before="360"/>
      </w:pPr>
      <w:r>
        <w:rPr>
          <w:rFonts w:ascii="Arial" w:cs="Arial" w:eastAsia="Arial" w:hAnsi="Arial"/>
          <w:b/>
          <w:bCs/>
          <w:color w:val="0C0D10"/>
          <w:sz w:val="32"/>
          <w:szCs w:val="32"/>
        </w:rPr>
        <w:t xml:space="preserve">13.  Partner Portal — advisory to hard-gate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At GA, the Partner Portal moves from advisory to hard-gate governance. 30 minutes from sandbox to first working skill. 80% of governance checks automated. 5-min behaviour visibility. 1-min error / violation surfacing. 9-of-10 partner actions self-serve.</w:t>
            </w:r>
          </w:p>
        </w:tc>
      </w:tr>
    </w:tbl>
    <w:p>
      <w:pPr>
        <w:pStyle w:val="Heading2"/>
        <w:spacing w:after="80" w:before="280"/>
      </w:pPr>
      <w:r>
        <w:rPr>
          <w:rFonts w:ascii="Arial" w:cs="Arial" w:eastAsia="Arial" w:hAnsi="Arial"/>
          <w:b/>
          <w:bCs/>
          <w:color w:val="0C0D10"/>
          <w:sz w:val="26"/>
          <w:szCs w:val="26"/>
        </w:rPr>
        <w:t xml:space="preserve">13.1  Portal lifecycle states</w:t>
      </w:r>
    </w:p>
    <w:p>
      <w:pPr>
        <w:spacing w:after="120" w:before="0" w:line="320"/>
        <w:jc w:val="left"/>
      </w:pPr>
      <w:r>
        <w:rPr>
          <w:rFonts w:ascii="Arial" w:cs="Arial" w:eastAsia="Arial" w:hAnsi="Arial"/>
          <w:b w:val="false"/>
          <w:bCs w:val="false"/>
          <w:i w:val="false"/>
          <w:iCs w:val="false"/>
          <w:color w:val="0C0D10"/>
          <w:sz w:val="22"/>
          <w:szCs w:val="22"/>
        </w:rPr>
        <w:t xml:space="preserve">Six states (from Partner Capability Manifest §6) — submitted, validating, sandbox, provisional, verified, deprecated, revoked. The Portal surfaces every state to the partner with current SLA, current ranking weight, current violation log, current traffic share.</w:t>
      </w:r>
    </w:p>
    <w:p>
      <w:pPr>
        <w:pStyle w:val="Heading2"/>
        <w:spacing w:after="80" w:before="280"/>
      </w:pPr>
      <w:r>
        <w:rPr>
          <w:rFonts w:ascii="Arial" w:cs="Arial" w:eastAsia="Arial" w:hAnsi="Arial"/>
          <w:b/>
          <w:bCs/>
          <w:color w:val="0C0D10"/>
          <w:sz w:val="26"/>
          <w:szCs w:val="26"/>
        </w:rPr>
        <w:t xml:space="preserve">13.2  Automated governance at GA</w:t>
      </w:r>
    </w:p>
    <w:p>
      <w:pPr>
        <w:pStyle w:val="ListParagraph"/>
        <w:numPr>
          <w:ilvl w:val="0"/>
          <w:numId w:val="2"/>
        </w:numPr>
        <w:spacing w:after="40" w:before="40" w:line="320"/>
      </w:pPr>
      <w:r>
        <w:rPr>
          <w:rFonts w:ascii="Arial" w:cs="Arial" w:eastAsia="Arial" w:hAnsi="Arial"/>
          <w:color w:val="0C0D10"/>
          <w:sz w:val="22"/>
          <w:szCs w:val="22"/>
        </w:rPr>
        <w:t xml:space="preserve">Manifest schema validation — automated.</w:t>
      </w:r>
    </w:p>
    <w:p>
      <w:pPr>
        <w:pStyle w:val="ListParagraph"/>
        <w:numPr>
          <w:ilvl w:val="0"/>
          <w:numId w:val="2"/>
        </w:numPr>
        <w:spacing w:after="40" w:before="40" w:line="320"/>
      </w:pPr>
      <w:r>
        <w:rPr>
          <w:rFonts w:ascii="Arial" w:cs="Arial" w:eastAsia="Arial" w:hAnsi="Arial"/>
          <w:color w:val="0C0D10"/>
          <w:sz w:val="22"/>
          <w:szCs w:val="22"/>
        </w:rPr>
        <w:t xml:space="preserve">Adapter spec validation — automated.</w:t>
      </w:r>
    </w:p>
    <w:p>
      <w:pPr>
        <w:pStyle w:val="ListParagraph"/>
        <w:numPr>
          <w:ilvl w:val="0"/>
          <w:numId w:val="2"/>
        </w:numPr>
        <w:spacing w:after="40" w:before="40" w:line="320"/>
      </w:pPr>
      <w:r>
        <w:rPr>
          <w:rFonts w:ascii="Arial" w:cs="Arial" w:eastAsia="Arial" w:hAnsi="Arial"/>
          <w:color w:val="0C0D10"/>
          <w:sz w:val="22"/>
          <w:szCs w:val="22"/>
        </w:rPr>
        <w:t xml:space="preserve">Locale checks — automated.</w:t>
      </w:r>
    </w:p>
    <w:p>
      <w:pPr>
        <w:pStyle w:val="ListParagraph"/>
        <w:numPr>
          <w:ilvl w:val="0"/>
          <w:numId w:val="2"/>
        </w:numPr>
        <w:spacing w:after="40" w:before="40" w:line="320"/>
      </w:pPr>
      <w:r>
        <w:rPr>
          <w:rFonts w:ascii="Arial" w:cs="Arial" w:eastAsia="Arial" w:hAnsi="Arial"/>
          <w:color w:val="0C0D10"/>
          <w:sz w:val="22"/>
          <w:szCs w:val="22"/>
        </w:rPr>
        <w:t xml:space="preserve">Compliance gates (data residency, retention, DPDP) — automated where regulation permits, human review where required.</w:t>
      </w:r>
    </w:p>
    <w:p>
      <w:pPr>
        <w:pStyle w:val="ListParagraph"/>
        <w:numPr>
          <w:ilvl w:val="0"/>
          <w:numId w:val="2"/>
        </w:numPr>
        <w:spacing w:after="40" w:before="40" w:line="320"/>
      </w:pPr>
      <w:r>
        <w:rPr>
          <w:rFonts w:ascii="Arial" w:cs="Arial" w:eastAsia="Arial" w:hAnsi="Arial"/>
          <w:color w:val="0C0D10"/>
          <w:sz w:val="22"/>
          <w:szCs w:val="22"/>
        </w:rPr>
        <w:t xml:space="preserve">Cold-start eligibility check — automated.</w:t>
      </w:r>
    </w:p>
    <w:p>
      <w:pPr>
        <w:pStyle w:val="ListParagraph"/>
        <w:numPr>
          <w:ilvl w:val="0"/>
          <w:numId w:val="2"/>
        </w:numPr>
        <w:spacing w:after="40" w:before="40" w:line="320"/>
      </w:pPr>
      <w:r>
        <w:rPr>
          <w:rFonts w:ascii="Arial" w:cs="Arial" w:eastAsia="Arial" w:hAnsi="Arial"/>
          <w:color w:val="0C0D10"/>
          <w:sz w:val="22"/>
          <w:szCs w:val="22"/>
        </w:rPr>
        <w:t xml:space="preserve">SLA threshold monitoring — automated; breach surfaces in &lt; 1 minute.</w:t>
      </w:r>
    </w:p>
    <w:p>
      <w:pPr>
        <w:pStyle w:val="ListParagraph"/>
        <w:numPr>
          <w:ilvl w:val="0"/>
          <w:numId w:val="2"/>
        </w:numPr>
        <w:spacing w:after="40" w:before="40" w:line="320"/>
      </w:pPr>
      <w:r>
        <w:rPr>
          <w:rFonts w:ascii="Arial" w:cs="Arial" w:eastAsia="Arial" w:hAnsi="Arial"/>
          <w:color w:val="0C0D10"/>
          <w:sz w:val="22"/>
          <w:szCs w:val="22"/>
        </w:rPr>
        <w:t xml:space="preserve">Anti-pattern detection — automated regex + classifier suite.</w:t>
      </w:r>
    </w:p>
    <w:p>
      <w:pPr>
        <w:pStyle w:val="Heading2"/>
        <w:spacing w:after="80" w:before="280"/>
      </w:pPr>
      <w:r>
        <w:rPr>
          <w:rFonts w:ascii="Arial" w:cs="Arial" w:eastAsia="Arial" w:hAnsi="Arial"/>
          <w:b/>
          <w:bCs/>
          <w:color w:val="0C0D10"/>
          <w:sz w:val="26"/>
          <w:szCs w:val="26"/>
        </w:rPr>
        <w:t xml:space="preserve">13.3  Manual review at GA</w:t>
      </w:r>
    </w:p>
    <w:p>
      <w:pPr>
        <w:pStyle w:val="ListParagraph"/>
        <w:numPr>
          <w:ilvl w:val="0"/>
          <w:numId w:val="2"/>
        </w:numPr>
        <w:spacing w:after="40" w:before="40" w:line="320"/>
      </w:pPr>
      <w:r>
        <w:rPr>
          <w:rFonts w:ascii="Arial" w:cs="Arial" w:eastAsia="Arial" w:hAnsi="Arial"/>
          <w:color w:val="0C0D10"/>
          <w:sz w:val="22"/>
          <w:szCs w:val="22"/>
        </w:rPr>
        <w:t xml:space="preserve">Imperative-adapter security review — mandatory before sandbox-to-provisional.</w:t>
      </w:r>
    </w:p>
    <w:p>
      <w:pPr>
        <w:pStyle w:val="ListParagraph"/>
        <w:numPr>
          <w:ilvl w:val="0"/>
          <w:numId w:val="2"/>
        </w:numPr>
        <w:spacing w:after="40" w:before="40" w:line="320"/>
      </w:pPr>
      <w:r>
        <w:rPr>
          <w:rFonts w:ascii="Arial" w:cs="Arial" w:eastAsia="Arial" w:hAnsi="Arial"/>
          <w:color w:val="0C0D10"/>
          <w:sz w:val="22"/>
          <w:szCs w:val="22"/>
        </w:rPr>
        <w:t xml:space="preserve">Health-domain sensitive-data review — Compliance.</w:t>
      </w:r>
    </w:p>
    <w:p>
      <w:pPr>
        <w:pStyle w:val="ListParagraph"/>
        <w:numPr>
          <w:ilvl w:val="0"/>
          <w:numId w:val="2"/>
        </w:numPr>
        <w:spacing w:after="40" w:before="40" w:line="320"/>
      </w:pPr>
      <w:r>
        <w:rPr>
          <w:rFonts w:ascii="Arial" w:cs="Arial" w:eastAsia="Arial" w:hAnsi="Arial"/>
          <w:color w:val="0C0D10"/>
          <w:sz w:val="22"/>
          <w:szCs w:val="22"/>
        </w:rPr>
        <w:t xml:space="preserve">Initial trust-tier promotion (sandbox → provisional → verified) — manual at each step.</w:t>
      </w:r>
    </w:p>
    <w:p>
      <w:pPr>
        <w:pStyle w:val="ListParagraph"/>
        <w:numPr>
          <w:ilvl w:val="0"/>
          <w:numId w:val="2"/>
        </w:numPr>
        <w:spacing w:after="40" w:before="40" w:line="320"/>
      </w:pPr>
      <w:r>
        <w:rPr>
          <w:rFonts w:ascii="Arial" w:cs="Arial" w:eastAsia="Arial" w:hAnsi="Arial"/>
          <w:color w:val="0C0D10"/>
          <w:sz w:val="22"/>
          <w:szCs w:val="22"/>
        </w:rPr>
        <w:t xml:space="preserve">Commercial signal disclosure copy — Legal review.</w:t>
      </w:r>
    </w:p>
    <w:p>
      <w:pPr>
        <w:pStyle w:val="Heading1"/>
        <w:spacing w:after="120" w:before="360"/>
      </w:pPr>
      <w:r>
        <w:rPr>
          <w:rFonts w:ascii="Arial" w:cs="Arial" w:eastAsia="Arial" w:hAnsi="Arial"/>
          <w:b/>
          <w:bCs/>
          <w:color w:val="0C0D10"/>
          <w:sz w:val="32"/>
          <w:szCs w:val="32"/>
        </w:rPr>
        <w:t xml:space="preserve">14.  Worked examples</w:t>
      </w:r>
    </w:p>
    <w:p>
      <w:pPr>
        <w:pStyle w:val="Heading2"/>
        <w:spacing w:after="80" w:before="280"/>
      </w:pPr>
      <w:r>
        <w:rPr>
          <w:rFonts w:ascii="Arial" w:cs="Arial" w:eastAsia="Arial" w:hAnsi="Arial"/>
          <w:b/>
          <w:bCs/>
          <w:color w:val="0C0D10"/>
          <w:sz w:val="26"/>
          <w:szCs w:val="26"/>
        </w:rPr>
        <w:t xml:space="preserve">14.1  Single-Best — translation</w:t>
      </w:r>
    </w:p>
    <w:p>
      <w:pPr>
        <w:spacing w:after="120" w:before="0" w:line="320"/>
        <w:jc w:val="left"/>
      </w:pPr>
      <w:r>
        <w:rPr>
          <w:rFonts w:ascii="Arial" w:cs="Arial" w:eastAsia="Arial" w:hAnsi="Arial"/>
          <w:b w:val="false"/>
          <w:bCs w:val="false"/>
          <w:i w:val="false"/>
          <w:iCs w:val="false"/>
          <w:color w:val="0C0D10"/>
          <w:sz w:val="22"/>
          <w:szCs w:val="22"/>
        </w:rPr>
        <w:t xml:space="preserve">Intent: "Translate 'thank you' to Tamil."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RENDERED</w:t>
            </w:r>
          </w:p>
          <w:p>
            <w:pPr>
              <w:spacing w:after="60" w:line="320"/>
            </w:pPr>
            <w:r>
              <w:rPr>
                <w:rFonts w:ascii="Arial" w:cs="Arial" w:eastAsia="Arial" w:hAnsi="Arial"/>
                <w:color w:val="0C0D10"/>
                <w:sz w:val="22"/>
                <w:szCs w:val="22"/>
              </w:rPr>
              <w:t xml:space="preserve">நன்றி (nandri) — Tamil</w:t>
            </w:r>
          </w:p>
          <w:p>
            <w:pPr>
              <w:spacing w:after="60" w:line="320"/>
            </w:pPr>
            <w:r>
              <w:rPr>
                <w:rFonts w:ascii="Arial" w:cs="Arial" w:eastAsia="Arial" w:hAnsi="Arial"/>
                <w:color w:val="0C0D10"/>
                <w:sz w:val="22"/>
                <w:szCs w:val="22"/>
              </w:rPr>
              <w:t xml:space="preserve">[via Google Translate]  Why this?</w:t>
            </w:r>
          </w:p>
        </w:tc>
      </w:tr>
    </w:tbl>
    <w:p>
      <w:pPr>
        <w:pStyle w:val="Heading2"/>
        <w:spacing w:after="80" w:before="280"/>
      </w:pPr>
      <w:r>
        <w:rPr>
          <w:rFonts w:ascii="Arial" w:cs="Arial" w:eastAsia="Arial" w:hAnsi="Arial"/>
          <w:b/>
          <w:bCs/>
          <w:color w:val="0C0D10"/>
          <w:sz w:val="26"/>
          <w:szCs w:val="26"/>
        </w:rPr>
        <w:t xml:space="preserve">14.2  Merged — restaurants near 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RENDERED</w:t>
            </w:r>
          </w:p>
          <w:p>
            <w:pPr>
              <w:spacing w:after="60" w:line="320"/>
            </w:pPr>
            <w:r>
              <w:rPr>
                <w:rFonts w:ascii="Arial" w:cs="Arial" w:eastAsia="Arial" w:hAnsi="Arial"/>
                <w:color w:val="0C0D10"/>
                <w:sz w:val="22"/>
                <w:szCs w:val="22"/>
              </w:rPr>
              <w:t xml:space="preserve">Restaurants near you · 3 nearby, all open</w:t>
            </w:r>
          </w:p>
          <w:p>
            <w:pPr>
              <w:spacing w:after="60" w:line="320"/>
            </w:pPr>
            <w:r>
              <w:rPr>
                <w:rFonts w:ascii="Arial" w:cs="Arial" w:eastAsia="Arial" w:hAnsi="Arial"/>
                <w:color w:val="0C0D10"/>
                <w:sz w:val="22"/>
                <w:szCs w:val="22"/>
              </w:rPr>
              <w:t xml:space="preserve">[Card] Garvaa Biryani · 4.2★ · 1.1km · 28 min · ₹350 for two  [via Swiggy]</w:t>
            </w:r>
          </w:p>
          <w:p>
            <w:pPr>
              <w:spacing w:after="60" w:line="320"/>
            </w:pPr>
            <w:r>
              <w:rPr>
                <w:rFonts w:ascii="Arial" w:cs="Arial" w:eastAsia="Arial" w:hAnsi="Arial"/>
                <w:color w:val="0C0D10"/>
                <w:sz w:val="22"/>
                <w:szCs w:val="22"/>
              </w:rPr>
              <w:t xml:space="preserve">[Card] Café Madras · 4.4★ · 0.8km · 35 min · ₹420 for two   [via Zomato]</w:t>
            </w:r>
          </w:p>
          <w:p>
            <w:pPr>
              <w:spacing w:after="60" w:line="320"/>
            </w:pPr>
            <w:r>
              <w:rPr>
                <w:rFonts w:ascii="Arial" w:cs="Arial" w:eastAsia="Arial" w:hAnsi="Arial"/>
                <w:color w:val="0C0D10"/>
                <w:sz w:val="22"/>
                <w:szCs w:val="22"/>
              </w:rPr>
              <w:t xml:space="preserve">[Card] Punjabi Tadka · 4.5★ · 1.4km · 22 min · ₹500 for two [via MagicPin]</w:t>
            </w:r>
          </w:p>
          <w:p>
            <w:pPr>
              <w:spacing w:after="60" w:line="320"/>
            </w:pPr>
            <w:r>
              <w:rPr>
                <w:rFonts w:ascii="Arial" w:cs="Arial" w:eastAsia="Arial" w:hAnsi="Arial"/>
                <w:color w:val="0C0D10"/>
                <w:sz w:val="22"/>
                <w:szCs w:val="22"/>
              </w:rPr>
              <w:t xml:space="preserve">Chips: [Under 30min] [Veg] [North Indian] [More]</w:t>
            </w:r>
          </w:p>
        </w:tc>
      </w:tr>
    </w:tbl>
    <w:p>
      <w:pPr>
        <w:pStyle w:val="Heading2"/>
        <w:spacing w:after="80" w:before="280"/>
      </w:pPr>
      <w:r>
        <w:rPr>
          <w:rFonts w:ascii="Arial" w:cs="Arial" w:eastAsia="Arial" w:hAnsi="Arial"/>
          <w:b/>
          <w:bCs/>
          <w:color w:val="0C0D10"/>
          <w:sz w:val="26"/>
          <w:szCs w:val="26"/>
        </w:rPr>
        <w:t xml:space="preserve">14.3  Choice-Gated — book a cab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RENDERED</w:t>
            </w:r>
          </w:p>
          <w:p>
            <w:pPr>
              <w:spacing w:after="60" w:line="320"/>
            </w:pPr>
            <w:r>
              <w:rPr>
                <w:rFonts w:ascii="Arial" w:cs="Arial" w:eastAsia="Arial" w:hAnsi="Arial"/>
                <w:color w:val="0C0D10"/>
                <w:sz w:val="22"/>
                <w:szCs w:val="22"/>
              </w:rPr>
              <w:t xml:space="preserve">Book a cab — three options · same destination, different partners</w:t>
            </w:r>
          </w:p>
          <w:p>
            <w:pPr>
              <w:spacing w:after="60" w:line="320"/>
            </w:pPr>
            <w:r>
              <w:rPr>
                <w:rFonts w:ascii="Arial" w:cs="Arial" w:eastAsia="Arial" w:hAnsi="Arial"/>
                <w:color w:val="0C0D10"/>
                <w:sz w:val="22"/>
                <w:szCs w:val="22"/>
              </w:rPr>
              <w:t xml:space="preserve">[Card] Uber · ₹245 · 4 min away   [Pick Uber]</w:t>
            </w:r>
          </w:p>
          <w:p>
            <w:pPr>
              <w:spacing w:after="60" w:line="320"/>
            </w:pPr>
            <w:r>
              <w:rPr>
                <w:rFonts w:ascii="Arial" w:cs="Arial" w:eastAsia="Arial" w:hAnsi="Arial"/>
                <w:color w:val="0C0D10"/>
                <w:sz w:val="22"/>
                <w:szCs w:val="22"/>
              </w:rPr>
              <w:t xml:space="preserve">[Card] Ola · ₹260 · 5 min away    [Pick Ola]</w:t>
            </w:r>
          </w:p>
          <w:p>
            <w:pPr>
              <w:spacing w:after="60" w:line="320"/>
            </w:pPr>
            <w:r>
              <w:rPr>
                <w:rFonts w:ascii="Arial" w:cs="Arial" w:eastAsia="Arial" w:hAnsi="Arial"/>
                <w:color w:val="0C0D10"/>
                <w:sz w:val="22"/>
                <w:szCs w:val="22"/>
              </w:rPr>
              <w:t xml:space="preserve">[Card] BluSmart · ₹290 · 7 min away (EV) [Pick BluSmart]</w:t>
            </w:r>
          </w:p>
          <w:p>
            <w:pPr>
              <w:spacing w:after="60" w:line="320"/>
            </w:pPr>
            <w:r>
              <w:rPr>
                <w:rFonts w:ascii="Arial" w:cs="Arial" w:eastAsia="Arial" w:hAnsi="Arial"/>
                <w:color w:val="0C0D10"/>
                <w:sz w:val="22"/>
                <w:szCs w:val="22"/>
              </w:rPr>
              <w:t xml:space="preserve">Why these? You've used Uber 6 times in the last month; Ola and BluSmart are within ranking band.</w:t>
            </w:r>
          </w:p>
        </w:tc>
      </w:tr>
    </w:tbl>
    <w:p>
      <w:pPr>
        <w:pStyle w:val="Heading2"/>
        <w:spacing w:after="80" w:before="280"/>
      </w:pPr>
      <w:r>
        <w:rPr>
          <w:rFonts w:ascii="Arial" w:cs="Arial" w:eastAsia="Arial" w:hAnsi="Arial"/>
          <w:b/>
          <w:bCs/>
          <w:color w:val="0C0D10"/>
          <w:sz w:val="26"/>
          <w:szCs w:val="26"/>
        </w:rPr>
        <w:t xml:space="preserve">14.4  Sequential-Fallback — partner timeout escalation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SEQUENCE</w:t>
            </w:r>
          </w:p>
          <w:p>
            <w:pPr>
              <w:spacing w:after="60" w:line="320"/>
            </w:pPr>
            <w:r>
              <w:rPr>
                <w:rFonts w:ascii="Arial" w:cs="Arial" w:eastAsia="Arial" w:hAnsi="Arial"/>
                <w:color w:val="0C0D10"/>
                <w:sz w:val="22"/>
                <w:szCs w:val="22"/>
              </w:rPr>
              <w:t xml:space="preserve">Intent: "Restaurants near me." Top-ranked partner (Swiggy) does not respond within SLA.</w:t>
            </w:r>
          </w:p>
          <w:p>
            <w:pPr>
              <w:spacing w:after="60" w:line="320"/>
            </w:pPr>
            <w:r>
              <w:rPr>
                <w:rFonts w:ascii="Arial" w:cs="Arial" w:eastAsia="Arial" w:hAnsi="Arial"/>
                <w:color w:val="0C0D10"/>
                <w:sz w:val="22"/>
                <w:szCs w:val="22"/>
              </w:rPr>
              <w:t xml:space="preserve">JBIQ pivots silently to Zomato and MagicPin.</w:t>
            </w:r>
          </w:p>
          <w:p>
            <w:pPr>
              <w:spacing w:after="60" w:line="320"/>
            </w:pPr>
            <w:r>
              <w:rPr>
                <w:rFonts w:ascii="Arial" w:cs="Arial" w:eastAsia="Arial" w:hAnsi="Arial"/>
                <w:color w:val="0C0D10"/>
                <w:sz w:val="22"/>
                <w:szCs w:val="22"/>
              </w:rPr>
              <w:t xml:space="preserve">Render shows Zomato + MagicPin results; Swiggy badge in suppressed-partners surface.</w:t>
            </w:r>
          </w:p>
          <w:p>
            <w:pPr>
              <w:spacing w:after="60" w:line="320"/>
            </w:pPr>
            <w:r>
              <w:rPr>
                <w:rFonts w:ascii="Arial" w:cs="Arial" w:eastAsia="Arial" w:hAnsi="Arial"/>
                <w:color w:val="0C0D10"/>
                <w:sz w:val="22"/>
                <w:szCs w:val="22"/>
              </w:rPr>
              <w:t xml:space="preserve">Voice: "Swiggy's slow to respond right now — pulled options from Zomato and MagicPin. Three nearby, all open. Want me to keep trying Swiggy in the background?"</w:t>
            </w:r>
          </w:p>
        </w:tc>
      </w:tr>
    </w:tbl>
    <w:p>
      <w:pPr>
        <w:pStyle w:val="Heading2"/>
        <w:spacing w:after="80" w:before="280"/>
      </w:pPr>
      <w:r>
        <w:rPr>
          <w:rFonts w:ascii="Arial" w:cs="Arial" w:eastAsia="Arial" w:hAnsi="Arial"/>
          <w:b/>
          <w:bCs/>
          <w:color w:val="0C0D10"/>
          <w:sz w:val="26"/>
          <w:szCs w:val="26"/>
        </w:rPr>
        <w:t xml:space="preserve">14.5  Vertical Lift cycle — Cricket Match Companion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DAY-BY-DAY</w:t>
            </w:r>
          </w:p>
          <w:p>
            <w:pPr>
              <w:spacing w:after="60" w:line="320"/>
            </w:pPr>
            <w:r>
              <w:rPr>
                <w:rFonts w:ascii="Arial" w:cs="Arial" w:eastAsia="Arial" w:hAnsi="Arial"/>
                <w:color w:val="0C0D10"/>
                <w:sz w:val="22"/>
                <w:szCs w:val="22"/>
              </w:rPr>
              <w:t xml:space="preserve">Day 1–2 — Validated use case: second-screen for cricket fans watching JioHotstar. Demand evidence: 5% of JioHotstar Cricket users want a deeper experience.</w:t>
            </w:r>
          </w:p>
          <w:p>
            <w:pPr>
              <w:spacing w:after="60" w:line="320"/>
            </w:pPr>
            <w:r>
              <w:rPr>
                <w:rFonts w:ascii="Arial" w:cs="Arial" w:eastAsia="Arial" w:hAnsi="Arial"/>
                <w:color w:val="0C0D10"/>
                <w:sz w:val="22"/>
                <w:szCs w:val="22"/>
              </w:rPr>
              <w:t xml:space="preserve">Day 3–4 — Primitives composed: voice four-beat for live commentary, share-card primitive for moments (wicket, six), friend-group leaderboard surface (new primitive — gap filled by design).</w:t>
            </w:r>
          </w:p>
          <w:p>
            <w:pPr>
              <w:spacing w:after="60" w:line="320"/>
            </w:pPr>
            <w:r>
              <w:rPr>
                <w:rFonts w:ascii="Arial" w:cs="Arial" w:eastAsia="Arial" w:hAnsi="Arial"/>
                <w:color w:val="0C0D10"/>
                <w:sz w:val="22"/>
                <w:szCs w:val="22"/>
              </w:rPr>
              <w:t xml:space="preserve">Day 5 — Vertical Lift agent assembles intent set, eval harness, language coverage. Three languages on Day 5 (Hindi, Tamil, English); others queued.</w:t>
            </w:r>
          </w:p>
          <w:p>
            <w:pPr>
              <w:spacing w:after="60" w:line="320"/>
            </w:pPr>
            <w:r>
              <w:rPr>
                <w:rFonts w:ascii="Arial" w:cs="Arial" w:eastAsia="Arial" w:hAnsi="Arial"/>
                <w:color w:val="0C0D10"/>
                <w:sz w:val="22"/>
                <w:szCs w:val="22"/>
              </w:rPr>
              <w:t xml:space="preserve">Day 6 — Eval gate: voice commentary latency &lt; 1.5s vs scoreboard; cross-language parity within 10pp; guardrails firing on sensitive moments (player injury, controversial decisions).</w:t>
            </w:r>
          </w:p>
          <w:p>
            <w:pPr>
              <w:spacing w:after="60" w:line="320"/>
            </w:pPr>
            <w:r>
              <w:rPr>
                <w:rFonts w:ascii="Arial" w:cs="Arial" w:eastAsia="Arial" w:hAnsi="Arial"/>
                <w:color w:val="0C0D10"/>
                <w:sz w:val="22"/>
                <w:szCs w:val="22"/>
              </w:rPr>
              <w:t xml:space="preserve">Day 7 — Live. Lifecycle home picks it up for users who have engaged with cricket content. WA share-back live for wickets / sixes / match results.</w:t>
            </w:r>
          </w:p>
        </w:tc>
      </w:tr>
    </w:tbl>
    <w:p>
      <w:pPr>
        <w:pStyle w:val="Heading1"/>
        <w:spacing w:after="120" w:before="360"/>
      </w:pPr>
      <w:r>
        <w:rPr>
          <w:rFonts w:ascii="Arial" w:cs="Arial" w:eastAsia="Arial" w:hAnsi="Arial"/>
          <w:b/>
          <w:bCs/>
          <w:color w:val="0C0D10"/>
          <w:sz w:val="32"/>
          <w:szCs w:val="32"/>
        </w:rPr>
        <w:t xml:space="preserve">15.  Acceptance criteria mapped to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1300"/>
        <w:gridCol w:w="2580"/>
      </w:tblGrid>
      <w:tr>
        <w:trPr>
          <w:tblHeader/>
        </w:trPr>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5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Attribution present on every partner-fulfilled output</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Attribution-render audit</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QA</w:t>
            </w:r>
          </w:p>
        </w:tc>
        <w:tc>
          <w:tcPr>
            <w:tcW w:type="dxa" w:w="2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Per-release audit + nightly production sample</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Cross-partner data exchange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Cross-partner data-exchange audit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unauthorised events / rolling 30d</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 / Engineering</w:t>
            </w:r>
          </w:p>
        </w:tc>
        <w:tc>
          <w:tcPr>
            <w:tcW w:type="dxa" w:w="2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Per-event source / destination check</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Cold-start budget enforced</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newly-verified partners receiving cold-start exposure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Engineering</w:t>
            </w:r>
          </w:p>
        </w:tc>
        <w:tc>
          <w:tcPr>
            <w:tcW w:type="dxa" w:w="2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Per-newly-verified-partner audit</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Monopoly cap enforced per domain</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canonical intents where top partner share &gt; cap</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without explicit user opt-in</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Engineering</w:t>
            </w:r>
          </w:p>
        </w:tc>
        <w:tc>
          <w:tcPr>
            <w:tcW w:type="dxa" w:w="2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Per-domain ranking audit, weekly</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"Why this result?" present per intent class</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Why-this surface coverage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QA</w:t>
            </w:r>
          </w:p>
        </w:tc>
        <w:tc>
          <w:tcPr>
            <w:tcW w:type="dxa" w:w="2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Per-intent-class audit per release</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Suppression visibility</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suppressed-partner events surfaced on demand</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w:t>
            </w:r>
          </w:p>
        </w:tc>
        <w:tc>
          <w:tcPr>
            <w:tcW w:type="dxa" w:w="2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Suppression-event audit</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Resolution determinism</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resolutions deterministic given same input + signal state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2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Synthetic replay test per release</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Partners live at GA (GA Op. Goal 08)</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Verified partner count at GA</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10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Engineering</w:t>
            </w:r>
          </w:p>
        </w:tc>
        <w:tc>
          <w:tcPr>
            <w:tcW w:type="dxa" w:w="2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Registry state dashboard</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New partners per month (GA Op. Goal 08)</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Newly-verified partner count per month</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3</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Engineering</w:t>
            </w:r>
          </w:p>
        </w:tc>
        <w:tc>
          <w:tcPr>
            <w:tcW w:type="dxa" w:w="2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Monthly registry trend</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Net-new signature experiences per month (GA Op. Goal 09)</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Vertical Lift output rate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2</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Vertical PM + Vertical Lift</w:t>
            </w:r>
          </w:p>
        </w:tc>
        <w:tc>
          <w:tcPr>
            <w:tcW w:type="dxa" w:w="2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Monthly experience launch count</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Sandbox to first working skill</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Time-to-first-skill on Partner Portal</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30 min</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Engineering</w:t>
            </w:r>
          </w:p>
        </w:tc>
        <w:tc>
          <w:tcPr>
            <w:tcW w:type="dxa" w:w="2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Portal telemetry on partner onboarding</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behaviour visibility</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Time-to-surface partner behaviour change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5 min</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2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Portal telemetry on behaviour-event lag</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error / violation surfacing</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Time-to-surface partner violation</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1 min</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Compliance</w:t>
            </w:r>
          </w:p>
        </w:tc>
        <w:tc>
          <w:tcPr>
            <w:tcW w:type="dxa" w:w="2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Portal telemetry on violation-event lag</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self-serve rate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partner actions self-serve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Engineering</w:t>
            </w:r>
          </w:p>
        </w:tc>
        <w:tc>
          <w:tcPr>
            <w:tcW w:type="dxa" w:w="2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Portal action × manual-intervention audit</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Vertical Lift 7-day cycle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Median use-case-to-live time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7 days</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Vertical Lift / Vertical PM</w:t>
            </w:r>
          </w:p>
        </w:tc>
        <w:tc>
          <w:tcPr>
            <w:tcW w:type="dxa" w:w="2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Per-experience cycle telemetry</w:t>
            </w:r>
          </w:p>
        </w:tc>
      </w:tr>
    </w:tbl>
    <w:p>
      <w:pPr>
        <w:pStyle w:val="Heading1"/>
        <w:spacing w:after="120" w:before="360"/>
      </w:pPr>
      <w:r>
        <w:rPr>
          <w:rFonts w:ascii="Arial" w:cs="Arial" w:eastAsia="Arial" w:hAnsi="Arial"/>
          <w:b/>
          <w:bCs/>
          <w:color w:val="0C0D10"/>
          <w:sz w:val="32"/>
          <w:szCs w:val="32"/>
        </w:rPr>
        <w:t xml:space="preserve">16.  Cross-references</w:t>
      </w:r>
    </w:p>
    <w:p>
      <w:pPr>
        <w:pStyle w:val="ListParagraph"/>
        <w:numPr>
          <w:ilvl w:val="0"/>
          <w:numId w:val="2"/>
        </w:numPr>
        <w:spacing w:after="40" w:before="40" w:line="320"/>
      </w:pPr>
      <w:r>
        <w:rPr>
          <w:rFonts w:ascii="Arial" w:cs="Arial" w:eastAsia="Arial" w:hAnsi="Arial"/>
          <w:color w:val="0C0D10"/>
          <w:sz w:val="22"/>
          <w:szCs w:val="22"/>
        </w:rPr>
        <w:t xml:space="preserve">Partner Capability Manifest V0.1 — superseded / integrated into this chapter.</w:t>
      </w:r>
    </w:p>
    <w:p>
      <w:pPr>
        <w:pStyle w:val="ListParagraph"/>
        <w:numPr>
          <w:ilvl w:val="0"/>
          <w:numId w:val="2"/>
        </w:numPr>
        <w:spacing w:after="40" w:before="40" w:line="320"/>
      </w:pPr>
      <w:r>
        <w:rPr>
          <w:rFonts w:ascii="Arial" w:cs="Arial" w:eastAsia="Arial" w:hAnsi="Arial"/>
          <w:color w:val="0C0D10"/>
          <w:sz w:val="22"/>
          <w:szCs w:val="22"/>
        </w:rPr>
        <w:t xml:space="preserve">Multi-Partner Conflict Resolution Model V0.1 — superseded / integrated into this chapter.</w:t>
      </w:r>
    </w:p>
    <w:p>
      <w:pPr>
        <w:pStyle w:val="ListParagraph"/>
        <w:numPr>
          <w:ilvl w:val="0"/>
          <w:numId w:val="2"/>
        </w:numPr>
        <w:spacing w:after="40" w:before="40" w:line="320"/>
      </w:pPr>
      <w:r>
        <w:rPr>
          <w:rFonts w:ascii="Arial" w:cs="Arial" w:eastAsia="Arial" w:hAnsi="Arial"/>
          <w:color w:val="0C0D10"/>
          <w:sz w:val="22"/>
          <w:szCs w:val="22"/>
        </w:rPr>
        <w:t xml:space="preserve">Consumer Intelligence GA Operating Goals 08, 09 — the 10+ partner / 3+ new partner / 2+ signature experience targets.</w:t>
      </w:r>
    </w:p>
    <w:p>
      <w:pPr>
        <w:pStyle w:val="ListParagraph"/>
        <w:numPr>
          <w:ilvl w:val="0"/>
          <w:numId w:val="2"/>
        </w:numPr>
        <w:spacing w:after="40" w:before="40" w:line="320"/>
      </w:pPr>
      <w:r>
        <w:rPr>
          <w:rFonts w:ascii="Arial" w:cs="Arial" w:eastAsia="Arial" w:hAnsi="Arial"/>
          <w:color w:val="0C0D10"/>
          <w:sz w:val="22"/>
          <w:szCs w:val="22"/>
        </w:rPr>
        <w:t xml:space="preserve">Strategy Delta (Appendix E) — pre-GA → GA partner ecosystem shift.</w:t>
      </w:r>
    </w:p>
    <w:p>
      <w:pPr>
        <w:pStyle w:val="ListParagraph"/>
        <w:numPr>
          <w:ilvl w:val="0"/>
          <w:numId w:val="2"/>
        </w:numPr>
        <w:spacing w:after="40" w:before="40" w:line="320"/>
      </w:pPr>
      <w:r>
        <w:rPr>
          <w:rFonts w:ascii="Arial" w:cs="Arial" w:eastAsia="Arial" w:hAnsi="Arial"/>
          <w:color w:val="0C0D10"/>
          <w:sz w:val="22"/>
          <w:szCs w:val="22"/>
        </w:rPr>
        <w:t xml:space="preserve">Ch. 1 — Identity &amp; voice DNA (the JBIQ voice partner attribution lives inside).</w:t>
      </w:r>
    </w:p>
    <w:p>
      <w:pPr>
        <w:pStyle w:val="ListParagraph"/>
        <w:numPr>
          <w:ilvl w:val="0"/>
          <w:numId w:val="2"/>
        </w:numPr>
        <w:spacing w:after="40" w:before="40" w:line="320"/>
      </w:pPr>
      <w:r>
        <w:rPr>
          <w:rFonts w:ascii="Arial" w:cs="Arial" w:eastAsia="Arial" w:hAnsi="Arial"/>
          <w:color w:val="0C0D10"/>
          <w:sz w:val="22"/>
          <w:szCs w:val="22"/>
        </w:rPr>
        <w:t xml:space="preserve">Ch. 4 — Response shapes &amp; anatomy (the four-slot anatomy partner outputs render into).</w:t>
      </w:r>
    </w:p>
    <w:p>
      <w:pPr>
        <w:pStyle w:val="ListParagraph"/>
        <w:numPr>
          <w:ilvl w:val="0"/>
          <w:numId w:val="2"/>
        </w:numPr>
        <w:spacing w:after="40" w:before="40" w:line="320"/>
      </w:pPr>
      <w:r>
        <w:rPr>
          <w:rFonts w:ascii="Arial" w:cs="Arial" w:eastAsia="Arial" w:hAnsi="Arial"/>
          <w:color w:val="0C0D10"/>
          <w:sz w:val="22"/>
          <w:szCs w:val="22"/>
        </w:rPr>
        <w:t xml:space="preserve">Ch. 5 — Voice disclosure (the voice + UI contract carries to partner outputs).</w:t>
      </w:r>
    </w:p>
    <w:p>
      <w:pPr>
        <w:pStyle w:val="ListParagraph"/>
        <w:numPr>
          <w:ilvl w:val="0"/>
          <w:numId w:val="2"/>
        </w:numPr>
        <w:spacing w:after="40" w:before="40" w:line="320"/>
      </w:pPr>
      <w:r>
        <w:rPr>
          <w:rFonts w:ascii="Arial" w:cs="Arial" w:eastAsia="Arial" w:hAnsi="Arial"/>
          <w:color w:val="0C0D10"/>
          <w:sz w:val="22"/>
          <w:szCs w:val="22"/>
        </w:rPr>
        <w:t xml:space="preserve">Ch. 6 — Language, code-switching &amp; cultural fluency (partner locale declarations + zero-English audit).</w:t>
      </w:r>
    </w:p>
    <w:p>
      <w:pPr>
        <w:pStyle w:val="ListParagraph"/>
        <w:numPr>
          <w:ilvl w:val="0"/>
          <w:numId w:val="2"/>
        </w:numPr>
        <w:spacing w:after="40" w:before="40" w:line="320"/>
      </w:pPr>
      <w:r>
        <w:rPr>
          <w:rFonts w:ascii="Arial" w:cs="Arial" w:eastAsia="Arial" w:hAnsi="Arial"/>
          <w:color w:val="0C0D10"/>
          <w:sz w:val="22"/>
          <w:szCs w:val="22"/>
        </w:rPr>
        <w:t xml:space="preserve">Ch. 7 — Memory, confidence &amp; autonomy (memory signals consumed / produced; user-mediated cross-partner data).</w:t>
      </w:r>
    </w:p>
    <w:p>
      <w:pPr>
        <w:pStyle w:val="ListParagraph"/>
        <w:numPr>
          <w:ilvl w:val="0"/>
          <w:numId w:val="2"/>
        </w:numPr>
        <w:spacing w:after="40" w:before="40" w:line="320"/>
      </w:pPr>
      <w:r>
        <w:rPr>
          <w:rFonts w:ascii="Arial" w:cs="Arial" w:eastAsia="Arial" w:hAnsi="Arial"/>
          <w:color w:val="0C0D10"/>
          <w:sz w:val="22"/>
          <w:szCs w:val="22"/>
        </w:rPr>
        <w:t xml:space="preserve">Ch. 8 — Commitment &amp; security (commitment authority; tokenisation; Compliance Ledger fail-closed).</w:t>
      </w:r>
    </w:p>
    <w:p>
      <w:pPr>
        <w:pStyle w:val="ListParagraph"/>
        <w:numPr>
          <w:ilvl w:val="0"/>
          <w:numId w:val="2"/>
        </w:numPr>
        <w:spacing w:after="40" w:before="40" w:line="320"/>
      </w:pPr>
      <w:r>
        <w:rPr>
          <w:rFonts w:ascii="Arial" w:cs="Arial" w:eastAsia="Arial" w:hAnsi="Arial"/>
          <w:color w:val="0C0D10"/>
          <w:sz w:val="22"/>
          <w:szCs w:val="22"/>
        </w:rPr>
        <w:t xml:space="preserve">Ch. 9 — Failing well (Sequential-Fallback handling, partner-timeout surfacing).</w:t>
      </w:r>
    </w:p>
    <w:p>
      <w:pPr>
        <w:pStyle w:val="ListParagraph"/>
        <w:numPr>
          <w:ilvl w:val="0"/>
          <w:numId w:val="2"/>
        </w:numPr>
        <w:spacing w:after="40" w:before="40" w:line="320"/>
      </w:pPr>
      <w:r>
        <w:rPr>
          <w:rFonts w:ascii="Arial" w:cs="Arial" w:eastAsia="Arial" w:hAnsi="Arial"/>
          <w:color w:val="0C0D10"/>
          <w:sz w:val="22"/>
          <w:szCs w:val="22"/>
        </w:rPr>
        <w:t xml:space="preserve">Ch. 10 — Multi-modal handoff (partner outputs across surfaces).</w:t>
      </w:r>
    </w:p>
    <w:p>
      <w:pPr>
        <w:pStyle w:val="ListParagraph"/>
        <w:numPr>
          <w:ilvl w:val="0"/>
          <w:numId w:val="2"/>
        </w:numPr>
        <w:spacing w:after="40" w:before="40" w:line="320"/>
      </w:pPr>
      <w:r>
        <w:rPr>
          <w:rFonts w:ascii="Arial" w:cs="Arial" w:eastAsia="Arial" w:hAnsi="Arial"/>
          <w:color w:val="0C0D10"/>
          <w:sz w:val="22"/>
          <w:szCs w:val="22"/>
        </w:rPr>
        <w:t xml:space="preserve">Ch. 13 — What JBIQ never does (the partner anti-patterns extracted into the quick-reference).</w:t>
      </w:r>
    </w:p>
    <w:p>
      <w:pPr>
        <w:pStyle w:val="ListParagraph"/>
        <w:numPr>
          <w:ilvl w:val="0"/>
          <w:numId w:val="2"/>
        </w:numPr>
        <w:spacing w:after="40" w:before="40" w:line="320"/>
      </w:pPr>
      <w:r>
        <w:rPr>
          <w:rFonts w:ascii="Arial" w:cs="Arial" w:eastAsia="Arial" w:hAnsi="Arial"/>
          <w:color w:val="0C0D10"/>
          <w:sz w:val="22"/>
          <w:szCs w:val="22"/>
        </w:rPr>
        <w:t xml:space="preserve">Ch. 14 — Measurement, QA &amp; governance.</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11. Partners declare capability. JBIQ governs interaction. The contract is a translation problem, not an integration problem — and at GA, with Vertical Lift building inside the same primitive set, the ecosystem grows without growing the rules. The Partner Portal makes that growth governable; the equity rules keep it open; transparency keeps it honest.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11 — Partner ecosystem &amp; attribution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2026-05-19T12:54:05.833Z</dcterms:created>
  <dcterms:modified xsi:type="dcterms:W3CDTF">2026-05-19T12:54:05.833Z</dcterms:modified>
</cp:coreProperties>
</file>

<file path=docProps/custom.xml><?xml version="1.0" encoding="utf-8"?>
<Properties xmlns="http://schemas.openxmlformats.org/officeDocument/2006/custom-properties" xmlns:vt="http://schemas.openxmlformats.org/officeDocument/2006/docPropsVTypes"/>
</file>