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14</w:t>
      </w:r>
    </w:p>
    <w:p>
      <w:pPr>
        <w:spacing w:after="120"/>
      </w:pPr>
      <w:r>
        <w:rPr>
          <w:rFonts w:ascii="Arial" w:cs="Arial" w:eastAsia="Arial" w:hAnsi="Arial"/>
          <w:b/>
          <w:bCs/>
          <w:color w:val="0C0D10"/>
          <w:sz w:val="44"/>
          <w:szCs w:val="44"/>
        </w:rPr>
        <w:t xml:space="preserve">Measurement, QA &amp; governance</w:t>
      </w:r>
    </w:p>
    <w:p>
      <w:pPr>
        <w:spacing w:after="360"/>
      </w:pPr>
      <w:r>
        <w:rPr>
          <w:rFonts w:ascii="Arial" w:cs="Arial" w:eastAsia="Arial" w:hAnsi="Arial"/>
          <w:i/>
          <w:iCs/>
          <w:color w:val="55585E"/>
          <w:sz w:val="26"/>
          <w:szCs w:val="26"/>
        </w:rPr>
        <w:t xml:space="preserve">How we know it's working. The metrics, the QA regression suite, the change process, and the cadence that keeps the playbook honest.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AI Systems, QA, Data &amp; Analytics, Compliance</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01–10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closes the playbook. It defines the metrics every previous chapter ladders to, the QA regression suite that gates releases, the change process for the playbook itself, the exception system, and the governance cadence. It is the chapter that turns the rest of the playbook from a document into a living instrument.</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Map every chapter's acceptance criteria to a single, instrumented metrics dashboard.</w:t>
      </w:r>
    </w:p>
    <w:p>
      <w:pPr>
        <w:pStyle w:val="ListParagraph"/>
        <w:numPr>
          <w:ilvl w:val="0"/>
          <w:numId w:val="2"/>
        </w:numPr>
        <w:spacing w:after="40" w:before="40" w:line="320"/>
      </w:pPr>
      <w:r>
        <w:rPr>
          <w:rFonts w:ascii="Arial" w:cs="Arial" w:eastAsia="Arial" w:hAnsi="Arial"/>
          <w:color w:val="0C0D10"/>
          <w:sz w:val="22"/>
          <w:szCs w:val="22"/>
        </w:rPr>
        <w:t xml:space="preserve">Make Daily Engaged Conversations (DEC) — the GA north star — the primary success measurement.</w:t>
      </w:r>
    </w:p>
    <w:p>
      <w:pPr>
        <w:pStyle w:val="ListParagraph"/>
        <w:numPr>
          <w:ilvl w:val="0"/>
          <w:numId w:val="2"/>
        </w:numPr>
        <w:spacing w:after="40" w:before="40" w:line="320"/>
      </w:pPr>
      <w:r>
        <w:rPr>
          <w:rFonts w:ascii="Arial" w:cs="Arial" w:eastAsia="Arial" w:hAnsi="Arial"/>
          <w:color w:val="0C0D10"/>
          <w:sz w:val="22"/>
          <w:szCs w:val="22"/>
        </w:rPr>
        <w:t xml:space="preserve">Codify the regression suite that gates every model release.</w:t>
      </w:r>
    </w:p>
    <w:p>
      <w:pPr>
        <w:pStyle w:val="ListParagraph"/>
        <w:numPr>
          <w:ilvl w:val="0"/>
          <w:numId w:val="2"/>
        </w:numPr>
        <w:spacing w:after="40" w:before="40" w:line="320"/>
      </w:pPr>
      <w:r>
        <w:rPr>
          <w:rFonts w:ascii="Arial" w:cs="Arial" w:eastAsia="Arial" w:hAnsi="Arial"/>
          <w:color w:val="0C0D10"/>
          <w:sz w:val="22"/>
          <w:szCs w:val="22"/>
        </w:rPr>
        <w:t xml:space="preserve">Define the change process for the playbook itself.</w:t>
      </w:r>
    </w:p>
    <w:p>
      <w:pPr>
        <w:pStyle w:val="ListParagraph"/>
        <w:numPr>
          <w:ilvl w:val="0"/>
          <w:numId w:val="2"/>
        </w:numPr>
        <w:spacing w:after="40" w:before="40" w:line="320"/>
      </w:pPr>
      <w:r>
        <w:rPr>
          <w:rFonts w:ascii="Arial" w:cs="Arial" w:eastAsia="Arial" w:hAnsi="Arial"/>
          <w:color w:val="0C0D10"/>
          <w:sz w:val="22"/>
          <w:szCs w:val="22"/>
        </w:rPr>
        <w:t xml:space="preserve">Lock the exception criteria — what justifies a documented deviation.</w:t>
      </w:r>
    </w:p>
    <w:p>
      <w:pPr>
        <w:pStyle w:val="ListParagraph"/>
        <w:numPr>
          <w:ilvl w:val="0"/>
          <w:numId w:val="2"/>
        </w:numPr>
        <w:spacing w:after="40" w:before="40" w:line="320"/>
      </w:pPr>
      <w:r>
        <w:rPr>
          <w:rFonts w:ascii="Arial" w:cs="Arial" w:eastAsia="Arial" w:hAnsi="Arial"/>
          <w:color w:val="0C0D10"/>
          <w:sz w:val="22"/>
          <w:szCs w:val="22"/>
        </w:rPr>
        <w:t xml:space="preserve">Set the governance cadence — per-release, nightly, weekly, quarterly.</w:t>
      </w:r>
    </w:p>
    <w:p>
      <w:pPr>
        <w:pStyle w:val="ListParagraph"/>
        <w:numPr>
          <w:ilvl w:val="0"/>
          <w:numId w:val="2"/>
        </w:numPr>
        <w:spacing w:after="40" w:before="40" w:line="320"/>
      </w:pPr>
      <w:r>
        <w:rPr>
          <w:rFonts w:ascii="Arial" w:cs="Arial" w:eastAsia="Arial" w:hAnsi="Arial"/>
          <w:color w:val="0C0D10"/>
          <w:sz w:val="22"/>
          <w:szCs w:val="22"/>
        </w:rPr>
        <w:t xml:space="preserve">Make versioning and migration of the playbook predictable.</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metric that's not measured cannot be governed; a change that bypasses the process is a structural defect.</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The DEC north star and the metrics that ladder to it.</w:t>
      </w:r>
    </w:p>
    <w:p>
      <w:pPr>
        <w:pStyle w:val="ListParagraph"/>
        <w:numPr>
          <w:ilvl w:val="0"/>
          <w:numId w:val="2"/>
        </w:numPr>
        <w:spacing w:after="40" w:before="40" w:line="320"/>
      </w:pPr>
      <w:r>
        <w:rPr>
          <w:rFonts w:ascii="Arial" w:cs="Arial" w:eastAsia="Arial" w:hAnsi="Arial"/>
          <w:color w:val="0C0D10"/>
          <w:sz w:val="22"/>
          <w:szCs w:val="22"/>
        </w:rPr>
        <w:t xml:space="preserve">Response-shape, voice disclosure, language, reliability, trust, repair metrics.</w:t>
      </w:r>
    </w:p>
    <w:p>
      <w:pPr>
        <w:pStyle w:val="ListParagraph"/>
        <w:numPr>
          <w:ilvl w:val="0"/>
          <w:numId w:val="2"/>
        </w:numPr>
        <w:spacing w:after="40" w:before="40" w:line="320"/>
      </w:pPr>
      <w:r>
        <w:rPr>
          <w:rFonts w:ascii="Arial" w:cs="Arial" w:eastAsia="Arial" w:hAnsi="Arial"/>
          <w:color w:val="0C0D10"/>
          <w:sz w:val="22"/>
          <w:szCs w:val="22"/>
        </w:rPr>
        <w:t xml:space="preserve">The QA regression suite — what runs on every model update.</w:t>
      </w:r>
    </w:p>
    <w:p>
      <w:pPr>
        <w:pStyle w:val="ListParagraph"/>
        <w:numPr>
          <w:ilvl w:val="0"/>
          <w:numId w:val="2"/>
        </w:numPr>
        <w:spacing w:after="40" w:before="40" w:line="320"/>
      </w:pPr>
      <w:r>
        <w:rPr>
          <w:rFonts w:ascii="Arial" w:cs="Arial" w:eastAsia="Arial" w:hAnsi="Arial"/>
          <w:color w:val="0C0D10"/>
          <w:sz w:val="22"/>
          <w:szCs w:val="22"/>
        </w:rPr>
        <w:t xml:space="preserve">Acceptance per chapter — the cross-chapter dashboard structure.</w:t>
      </w:r>
    </w:p>
    <w:p>
      <w:pPr>
        <w:pStyle w:val="ListParagraph"/>
        <w:numPr>
          <w:ilvl w:val="0"/>
          <w:numId w:val="2"/>
        </w:numPr>
        <w:spacing w:after="40" w:before="40" w:line="320"/>
      </w:pPr>
      <w:r>
        <w:rPr>
          <w:rFonts w:ascii="Arial" w:cs="Arial" w:eastAsia="Arial" w:hAnsi="Arial"/>
          <w:color w:val="0C0D10"/>
          <w:sz w:val="22"/>
          <w:szCs w:val="22"/>
        </w:rPr>
        <w:t xml:space="preserve">The change process — propose, review, approve, communicate.</w:t>
      </w:r>
    </w:p>
    <w:p>
      <w:pPr>
        <w:pStyle w:val="ListParagraph"/>
        <w:numPr>
          <w:ilvl w:val="0"/>
          <w:numId w:val="2"/>
        </w:numPr>
        <w:spacing w:after="40" w:before="40" w:line="320"/>
      </w:pPr>
      <w:r>
        <w:rPr>
          <w:rFonts w:ascii="Arial" w:cs="Arial" w:eastAsia="Arial" w:hAnsi="Arial"/>
          <w:color w:val="0C0D10"/>
          <w:sz w:val="22"/>
          <w:szCs w:val="22"/>
        </w:rPr>
        <w:t xml:space="preserve">Exception criteria — what justifies documented deviation.</w:t>
      </w:r>
    </w:p>
    <w:p>
      <w:pPr>
        <w:pStyle w:val="ListParagraph"/>
        <w:numPr>
          <w:ilvl w:val="0"/>
          <w:numId w:val="2"/>
        </w:numPr>
        <w:spacing w:after="40" w:before="40" w:line="320"/>
      </w:pPr>
      <w:r>
        <w:rPr>
          <w:rFonts w:ascii="Arial" w:cs="Arial" w:eastAsia="Arial" w:hAnsi="Arial"/>
          <w:color w:val="0C0D10"/>
          <w:sz w:val="22"/>
          <w:szCs w:val="22"/>
        </w:rPr>
        <w:t xml:space="preserve">Versioning — minor vs major bumps, migration notes.</w:t>
      </w:r>
    </w:p>
    <w:p>
      <w:pPr>
        <w:pStyle w:val="ListParagraph"/>
        <w:numPr>
          <w:ilvl w:val="0"/>
          <w:numId w:val="2"/>
        </w:numPr>
        <w:spacing w:after="40" w:before="40" w:line="320"/>
      </w:pPr>
      <w:r>
        <w:rPr>
          <w:rFonts w:ascii="Arial" w:cs="Arial" w:eastAsia="Arial" w:hAnsi="Arial"/>
          <w:color w:val="0C0D10"/>
          <w:sz w:val="22"/>
          <w:szCs w:val="22"/>
        </w:rPr>
        <w:t xml:space="preserve">Governance cadence — per-release, nightly, weekly, quarterly.</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Specific dashboard tooling and data pipeline architecture (governed by Data &amp; Analytics).</w:t>
      </w:r>
    </w:p>
    <w:p>
      <w:pPr>
        <w:pStyle w:val="ListParagraph"/>
        <w:numPr>
          <w:ilvl w:val="0"/>
          <w:numId w:val="2"/>
        </w:numPr>
        <w:spacing w:after="40" w:before="40" w:line="320"/>
      </w:pPr>
      <w:r>
        <w:rPr>
          <w:rFonts w:ascii="Arial" w:cs="Arial" w:eastAsia="Arial" w:hAnsi="Arial"/>
          <w:color w:val="0C0D10"/>
          <w:sz w:val="22"/>
          <w:szCs w:val="22"/>
        </w:rPr>
        <w:t xml:space="preserve">Per-pod OKR setting (governed by Pod Plans).</w:t>
      </w:r>
    </w:p>
    <w:p>
      <w:pPr>
        <w:pStyle w:val="ListParagraph"/>
        <w:numPr>
          <w:ilvl w:val="0"/>
          <w:numId w:val="2"/>
        </w:numPr>
        <w:spacing w:after="40" w:before="40" w:line="320"/>
      </w:pPr>
      <w:r>
        <w:rPr>
          <w:rFonts w:ascii="Arial" w:cs="Arial" w:eastAsia="Arial" w:hAnsi="Arial"/>
          <w:color w:val="0C0D10"/>
          <w:sz w:val="22"/>
          <w:szCs w:val="22"/>
        </w:rPr>
        <w:t xml:space="preserve">Commercial KPI tracking (governed by Business).</w:t>
      </w:r>
    </w:p>
    <w:p>
      <w:pPr>
        <w:pStyle w:val="ListParagraph"/>
        <w:numPr>
          <w:ilvl w:val="0"/>
          <w:numId w:val="2"/>
        </w:numPr>
        <w:spacing w:after="40" w:before="40" w:line="320"/>
      </w:pPr>
      <w:r>
        <w:rPr>
          <w:rFonts w:ascii="Arial" w:cs="Arial" w:eastAsia="Arial" w:hAnsi="Arial"/>
          <w:color w:val="0C0D10"/>
          <w:sz w:val="22"/>
          <w:szCs w:val="22"/>
        </w:rPr>
        <w:t xml:space="preserve">Per-language Localisation parity tooling (governed by Localisation).</w:t>
      </w:r>
    </w:p>
    <w:p>
      <w:pPr>
        <w:pStyle w:val="Heading1"/>
        <w:spacing w:after="120" w:before="360"/>
      </w:pPr>
      <w:r>
        <w:rPr>
          <w:rFonts w:ascii="Arial" w:cs="Arial" w:eastAsia="Arial" w:hAnsi="Arial"/>
          <w:b/>
          <w:bCs/>
          <w:color w:val="0C0D10"/>
          <w:sz w:val="32"/>
          <w:szCs w:val="32"/>
        </w:rPr>
        <w:t xml:space="preserve">2.  Governance invariants</w:t>
      </w:r>
    </w:p>
    <w:p>
      <w:pPr>
        <w:pStyle w:val="ListParagraph"/>
        <w:numPr>
          <w:ilvl w:val="0"/>
          <w:numId w:val="3"/>
        </w:numPr>
        <w:spacing w:after="40" w:before="40" w:line="320"/>
      </w:pPr>
      <w:r>
        <w:rPr>
          <w:rFonts w:ascii="Arial" w:cs="Arial" w:eastAsia="Arial" w:hAnsi="Arial"/>
          <w:color w:val="0C0D10"/>
          <w:sz w:val="22"/>
          <w:szCs w:val="22"/>
        </w:rPr>
        <w:t xml:space="preserve">Every chapter's acceptance criteria ladder to instrumented metrics. Metrics that are not instrumented are not governed.</w:t>
      </w:r>
    </w:p>
    <w:p>
      <w:pPr>
        <w:pStyle w:val="ListParagraph"/>
        <w:numPr>
          <w:ilvl w:val="0"/>
          <w:numId w:val="3"/>
        </w:numPr>
        <w:spacing w:after="40" w:before="40" w:line="320"/>
      </w:pPr>
      <w:r>
        <w:rPr>
          <w:rFonts w:ascii="Arial" w:cs="Arial" w:eastAsia="Arial" w:hAnsi="Arial"/>
          <w:color w:val="0C0D10"/>
          <w:sz w:val="22"/>
          <w:szCs w:val="22"/>
        </w:rPr>
        <w:t xml:space="preserve">Every metric has an owner, a target, a measurement method, and a cadence.</w:t>
      </w:r>
    </w:p>
    <w:p>
      <w:pPr>
        <w:pStyle w:val="ListParagraph"/>
        <w:numPr>
          <w:ilvl w:val="0"/>
          <w:numId w:val="3"/>
        </w:numPr>
        <w:spacing w:after="40" w:before="40" w:line="320"/>
      </w:pPr>
      <w:r>
        <w:rPr>
          <w:rFonts w:ascii="Arial" w:cs="Arial" w:eastAsia="Arial" w:hAnsi="Arial"/>
          <w:color w:val="0C0D10"/>
          <w:sz w:val="22"/>
          <w:szCs w:val="22"/>
        </w:rPr>
        <w:t xml:space="preserve">DEC (Daily Engaged Conversations) is the primary success metric. Task completion, satisfaction, retention, language parity, and trust metrics all ladder to it.</w:t>
      </w:r>
    </w:p>
    <w:p>
      <w:pPr>
        <w:pStyle w:val="ListParagraph"/>
        <w:numPr>
          <w:ilvl w:val="0"/>
          <w:numId w:val="3"/>
        </w:numPr>
        <w:spacing w:after="40" w:before="40" w:line="320"/>
      </w:pPr>
      <w:r>
        <w:rPr>
          <w:rFonts w:ascii="Arial" w:cs="Arial" w:eastAsia="Arial" w:hAnsi="Arial"/>
          <w:color w:val="0C0D10"/>
          <w:sz w:val="22"/>
          <w:szCs w:val="22"/>
        </w:rPr>
        <w:t xml:space="preserve">The QA regression suite runs on every model release. Suite failure blocks the release.</w:t>
      </w:r>
    </w:p>
    <w:p>
      <w:pPr>
        <w:pStyle w:val="ListParagraph"/>
        <w:numPr>
          <w:ilvl w:val="0"/>
          <w:numId w:val="3"/>
        </w:numPr>
        <w:spacing w:after="40" w:before="40" w:line="320"/>
      </w:pPr>
      <w:r>
        <w:rPr>
          <w:rFonts w:ascii="Arial" w:cs="Arial" w:eastAsia="Arial" w:hAnsi="Arial"/>
          <w:color w:val="0C0D10"/>
          <w:sz w:val="22"/>
          <w:szCs w:val="22"/>
        </w:rPr>
        <w:t xml:space="preserve">Section 2 invariants in every chapter are non-negotiable; their violation in production triggers automatic rollback and post-incident review.</w:t>
      </w:r>
    </w:p>
    <w:p>
      <w:pPr>
        <w:pStyle w:val="ListParagraph"/>
        <w:numPr>
          <w:ilvl w:val="0"/>
          <w:numId w:val="3"/>
        </w:numPr>
        <w:spacing w:after="40" w:before="40" w:line="320"/>
      </w:pPr>
      <w:r>
        <w:rPr>
          <w:rFonts w:ascii="Arial" w:cs="Arial" w:eastAsia="Arial" w:hAnsi="Arial"/>
          <w:color w:val="0C0D10"/>
          <w:sz w:val="22"/>
          <w:szCs w:val="22"/>
        </w:rPr>
        <w:t xml:space="preserve">The playbook is a living document. Changes follow the §13 process. In-place updates within minor versions are permitted; structural changes require version bumps.</w:t>
      </w:r>
    </w:p>
    <w:p>
      <w:pPr>
        <w:pStyle w:val="ListParagraph"/>
        <w:numPr>
          <w:ilvl w:val="0"/>
          <w:numId w:val="3"/>
        </w:numPr>
        <w:spacing w:after="40" w:before="40" w:line="320"/>
      </w:pPr>
      <w:r>
        <w:rPr>
          <w:rFonts w:ascii="Arial" w:cs="Arial" w:eastAsia="Arial" w:hAnsi="Arial"/>
          <w:color w:val="0C0D10"/>
          <w:sz w:val="22"/>
          <w:szCs w:val="22"/>
        </w:rPr>
        <w:t xml:space="preserve">Exceptions are documented in writing, time-bounded, and reviewed quarterly.</w:t>
      </w:r>
    </w:p>
    <w:p>
      <w:pPr>
        <w:pStyle w:val="ListParagraph"/>
        <w:numPr>
          <w:ilvl w:val="0"/>
          <w:numId w:val="3"/>
        </w:numPr>
        <w:spacing w:after="40" w:before="40" w:line="320"/>
      </w:pPr>
      <w:r>
        <w:rPr>
          <w:rFonts w:ascii="Arial" w:cs="Arial" w:eastAsia="Arial" w:hAnsi="Arial"/>
          <w:color w:val="0C0D10"/>
          <w:sz w:val="22"/>
          <w:szCs w:val="22"/>
        </w:rPr>
        <w:t xml:space="preserve">Quarterly governance review is held on schedule with all chapter owners + Trust &amp; Safety + Compliance + Legal as standing attendees.</w:t>
      </w:r>
    </w:p>
    <w:p>
      <w:pPr>
        <w:pStyle w:val="ListParagraph"/>
        <w:numPr>
          <w:ilvl w:val="0"/>
          <w:numId w:val="3"/>
        </w:numPr>
        <w:spacing w:after="40" w:before="40" w:line="320"/>
      </w:pPr>
      <w:r>
        <w:rPr>
          <w:rFonts w:ascii="Arial" w:cs="Arial" w:eastAsia="Arial" w:hAnsi="Arial"/>
          <w:color w:val="0C0D10"/>
          <w:sz w:val="22"/>
          <w:szCs w:val="22"/>
        </w:rPr>
        <w:t xml:space="preserve">Every measurement, every classifier, every regex rule is reviewed quarterly for accuracy and drift.</w:t>
      </w:r>
    </w:p>
    <w:p>
      <w:pPr>
        <w:pStyle w:val="ListParagraph"/>
        <w:numPr>
          <w:ilvl w:val="0"/>
          <w:numId w:val="3"/>
        </w:numPr>
        <w:spacing w:after="40" w:before="40" w:line="320"/>
      </w:pPr>
      <w:r>
        <w:rPr>
          <w:rFonts w:ascii="Arial" w:cs="Arial" w:eastAsia="Arial" w:hAnsi="Arial"/>
          <w:color w:val="0C0D10"/>
          <w:sz w:val="22"/>
          <w:szCs w:val="22"/>
        </w:rPr>
        <w:t xml:space="preserve">Metric breach &gt; 10% over a 7-day rolling window pages the chapter owner; a Section 2 invariant violation pages the playbook owner + Compliance.</w:t>
      </w:r>
    </w:p>
    <w:p>
      <w:pPr>
        <w:pStyle w:val="Heading1"/>
        <w:spacing w:after="120" w:before="360"/>
      </w:pPr>
      <w:r>
        <w:rPr>
          <w:rFonts w:ascii="Arial" w:cs="Arial" w:eastAsia="Arial" w:hAnsi="Arial"/>
          <w:b/>
          <w:bCs/>
          <w:color w:val="0C0D10"/>
          <w:sz w:val="32"/>
          <w:szCs w:val="32"/>
        </w:rPr>
        <w:t xml:space="preserve">3.  The metrics that matter</w:t>
      </w:r>
    </w:p>
    <w:p>
      <w:pPr>
        <w:spacing w:after="120" w:before="0" w:line="320"/>
        <w:jc w:val="left"/>
      </w:pPr>
      <w:r>
        <w:rPr>
          <w:rFonts w:ascii="Arial" w:cs="Arial" w:eastAsia="Arial" w:hAnsi="Arial"/>
          <w:b w:val="false"/>
          <w:bCs w:val="false"/>
          <w:i w:val="false"/>
          <w:iCs w:val="false"/>
          <w:color w:val="0C0D10"/>
          <w:sz w:val="22"/>
          <w:szCs w:val="22"/>
        </w:rPr>
        <w:t xml:space="preserve">GA Operating Goals 01–10 (Consumer Intelligence, May 2026) define the org-level commitments. Every metric in this chapter ladders to one or more of those goals. The table below is the canonical ladder.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GA Operating Goal</w:t>
            </w:r>
          </w:p>
        </w:tc>
        <w:tc>
          <w:tcPr>
            <w:tcW w:type="dxa" w:w="3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it commits</w:t>
            </w:r>
          </w:p>
        </w:tc>
        <w:tc>
          <w:tcPr>
            <w:tcW w:type="dxa" w:w="40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Playbook chapters that ladder to it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01 — Market reach (1M+/month)</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1M+ Indians reached monthly.</w:t>
            </w:r>
          </w:p>
        </w:tc>
        <w:tc>
          <w:tcPr>
            <w:tcW w:type="dxa" w:w="4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Ch. 6, Ch. 11 (GTM × language × ecosystem)</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02 — Domain + experiences</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5+ domains live, 15+ signature experiences.</w:t>
            </w:r>
          </w:p>
        </w:tc>
        <w:tc>
          <w:tcPr>
            <w:tcW w:type="dxa" w:w="4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5 §12, Ch. 11 §12 (Vertical Lift)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03 — First / returning task completion</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40%+ first-session task completion, 80%+ returning.</w:t>
            </w:r>
          </w:p>
        </w:tc>
        <w:tc>
          <w:tcPr>
            <w:tcW w:type="dxa" w:w="4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(response shapes), Ch. 9 (failure recovery)</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04 — Daily return</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25%+ of monthly users return daily; DEC primary north star.</w:t>
            </w:r>
          </w:p>
        </w:tc>
        <w:tc>
          <w:tcPr>
            <w:tcW w:type="dxa" w:w="4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Every chapter — the playbook is the substrate for habit</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05 — Satisfaction</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80%+ response satisfaction; no domain below 70%.</w:t>
            </w:r>
          </w:p>
        </w:tc>
        <w:tc>
          <w:tcPr>
            <w:tcW w:type="dxa" w:w="4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Ch. 2, Ch. 12 (sensitive moments)</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06 — Languages</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 Indian languages in production at parity; STT +5%; TTS MOS 4.0+.</w:t>
            </w:r>
          </w:p>
        </w:tc>
        <w:tc>
          <w:tcPr>
            <w:tcW w:type="dxa" w:w="4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6 (full chapter) + Ch. 5 (voice prosody)</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07 — Quality + scale</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99%+ eval pass rate; stable at 100K+ concurrent.</w:t>
            </w:r>
          </w:p>
        </w:tc>
        <w:tc>
          <w:tcPr>
            <w:tcW w:type="dxa" w:w="4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This chapter + Ch. 9 + Ch. 13 (regression suite)</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08 — Partner ecosystem</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 partners live; 3+ new partners/month.</w:t>
            </w:r>
          </w:p>
        </w:tc>
        <w:tc>
          <w:tcPr>
            <w:tcW w:type="dxa" w:w="4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11 (full chapter)</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09 — Net-new signature experiences</w:t>
            </w:r>
          </w:p>
        </w:tc>
        <w:tc>
          <w:tcPr>
            <w:tcW w:type="dxa" w:w="3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 net-new signature experiences/month by partners or autonomously.</w:t>
            </w:r>
          </w:p>
        </w:tc>
        <w:tc>
          <w:tcPr>
            <w:tcW w:type="dxa" w:w="4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11 §12 (Vertical Lift)</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 — AI-native org</w:t>
            </w:r>
          </w:p>
        </w:tc>
        <w:tc>
          <w:tcPr>
            <w:tcW w:type="dxa" w:w="3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of org uses AI tooling as primary workflow.</w:t>
            </w:r>
          </w:p>
        </w:tc>
        <w:tc>
          <w:tcPr>
            <w:tcW w:type="dxa" w:w="4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Not playbook-governed; operational</w:t>
            </w:r>
          </w:p>
        </w:tc>
      </w:tr>
    </w:tbl>
    <w:p>
      <w:pPr>
        <w:pStyle w:val="Heading1"/>
        <w:spacing w:after="120" w:before="360"/>
      </w:pPr>
      <w:r>
        <w:rPr>
          <w:rFonts w:ascii="Arial" w:cs="Arial" w:eastAsia="Arial" w:hAnsi="Arial"/>
          <w:b/>
          <w:bCs/>
          <w:color w:val="0C0D10"/>
          <w:sz w:val="32"/>
          <w:szCs w:val="32"/>
        </w:rPr>
        <w:t xml:space="preserve">4.  The north star — DEC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DAILY ENGAGED CONVERSATIONS</w:t>
            </w:r>
          </w:p>
          <w:p>
            <w:pPr>
              <w:spacing w:after="60" w:line="320"/>
            </w:pPr>
            <w:r>
              <w:rPr>
                <w:rFonts w:ascii="Arial" w:cs="Arial" w:eastAsia="Arial" w:hAnsi="Arial"/>
                <w:b/>
                <w:bCs/>
                <w:color w:val="0C0D10"/>
                <w:sz w:val="22"/>
                <w:szCs w:val="22"/>
              </w:rPr>
              <w:t xml:space="preserve">DEC = DAU × Conversations/User/Day.   Target at year-1: ≥ 2 sessions/user/day at 25%+ DAU/MAU.   Every chapter's metrics ladder to it — engagement is what the playbook is for.</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120" w:before="0" w:line="320"/>
        <w:jc w:val="left"/>
      </w:pPr>
      <w:r>
        <w:rPr>
          <w:rFonts w:ascii="Arial" w:cs="Arial" w:eastAsia="Arial" w:hAnsi="Arial"/>
          <w:b w:val="false"/>
          <w:bCs w:val="false"/>
          <w:i w:val="false"/>
          <w:iCs w:val="false"/>
          <w:color w:val="0C0D10"/>
          <w:sz w:val="22"/>
          <w:szCs w:val="22"/>
        </w:rPr>
        <w:t xml:space="preserve">DEC is the GA primary metric. It is computed daily, broken out by domain, by intent shape, by language, by signature experience. The dashboard is live by Beta exit; per Data &amp; Analytics, freshness is 5 minutes.</w:t>
      </w:r>
    </w:p>
    <w:p>
      <w:pPr>
        <w:pStyle w:val="Heading1"/>
        <w:spacing w:after="120" w:before="360"/>
      </w:pPr>
      <w:r>
        <w:rPr>
          <w:rFonts w:ascii="Arial" w:cs="Arial" w:eastAsia="Arial" w:hAnsi="Arial"/>
          <w:b/>
          <w:bCs/>
          <w:color w:val="0C0D10"/>
          <w:sz w:val="32"/>
          <w:szCs w:val="32"/>
        </w:rPr>
        <w:t xml:space="preserve">5.  Response-shape metrics</w:t>
      </w:r>
    </w:p>
    <w:p>
      <w:pPr>
        <w:spacing w:after="120" w:before="0" w:line="320"/>
        <w:jc w:val="left"/>
      </w:pPr>
      <w:r>
        <w:rPr>
          <w:rFonts w:ascii="Arial" w:cs="Arial" w:eastAsia="Arial" w:hAnsi="Arial"/>
          <w:b w:val="false"/>
          <w:bCs w:val="false"/>
          <w:i w:val="false"/>
          <w:iCs w:val="false"/>
          <w:color w:val="0C0D10"/>
          <w:sz w:val="22"/>
          <w:szCs w:val="22"/>
        </w:rPr>
        <w:t xml:space="preserve">Metrics that test the structural correctness of every rendered response. From Ch.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800"/>
        <w:gridCol w:w="4280"/>
      </w:tblGrid>
      <w:tr>
        <w:trPr>
          <w:tblHeader/>
        </w:trPr>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4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Context Line signal rate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AI</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Chip-vs-question refinement rate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AI</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Clarification rate — Multi-Option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 per intent shape</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Clarification rate — Single-Path</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10%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First-card tap rate (top 3)</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70%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Intent-shape classification accuracy</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 nightly</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Prohibited-pattern detection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Every release + nightly</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Primary-result latency p90</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5s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 live</w:t>
            </w:r>
          </w:p>
        </w:tc>
      </w:tr>
    </w:tbl>
    <w:p>
      <w:pPr>
        <w:pStyle w:val="Heading1"/>
        <w:spacing w:after="120" w:before="360"/>
      </w:pPr>
      <w:r>
        <w:rPr>
          <w:rFonts w:ascii="Arial" w:cs="Arial" w:eastAsia="Arial" w:hAnsi="Arial"/>
          <w:b/>
          <w:bCs/>
          <w:color w:val="0C0D10"/>
          <w:sz w:val="32"/>
          <w:szCs w:val="32"/>
        </w:rPr>
        <w:t xml:space="preserve">6.  Voice disclosure metrics</w:t>
      </w:r>
    </w:p>
    <w:p>
      <w:pPr>
        <w:spacing w:after="120" w:before="0" w:line="320"/>
        <w:jc w:val="left"/>
      </w:pPr>
      <w:r>
        <w:rPr>
          <w:rFonts w:ascii="Arial" w:cs="Arial" w:eastAsia="Arial" w:hAnsi="Arial"/>
          <w:b w:val="false"/>
          <w:bCs w:val="false"/>
          <w:i w:val="false"/>
          <w:iCs w:val="false"/>
          <w:color w:val="0C0D10"/>
          <w:sz w:val="22"/>
          <w:szCs w:val="22"/>
        </w:rPr>
        <w:t xml:space="preserve">Metrics that test voice-specific behaviour. From Ch.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800"/>
        <w:gridCol w:w="38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3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Four-beat pattern present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AI</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Word-count ceiling respected (≤ 40 words pre-pivot)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AI</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list enumeration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 nightly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commitment language at PARTIAL_RESULT_SHOWN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Voice</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 nightly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Anchor matches UI primary result</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AI / QA</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turn × per release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TTS MOS per language per content type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4.0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Monthly MOS panel</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persona consistency</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Delta ≤ 0.05</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Content</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cinematic experience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latency — simple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p50 ≤ 2.5s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3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latency — multi-skill</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p50 ≤ 15s</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3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bl>
    <w:p>
      <w:pPr>
        <w:pStyle w:val="Heading1"/>
        <w:spacing w:after="120" w:before="360"/>
      </w:pPr>
      <w:r>
        <w:rPr>
          <w:rFonts w:ascii="Arial" w:cs="Arial" w:eastAsia="Arial" w:hAnsi="Arial"/>
          <w:b/>
          <w:bCs/>
          <w:color w:val="0C0D10"/>
          <w:sz w:val="32"/>
          <w:szCs w:val="32"/>
        </w:rPr>
        <w:t xml:space="preserve">7.  Language metrics</w:t>
      </w:r>
    </w:p>
    <w:p>
      <w:pPr>
        <w:spacing w:after="120" w:before="0" w:line="320"/>
        <w:jc w:val="left"/>
      </w:pPr>
      <w:r>
        <w:rPr>
          <w:rFonts w:ascii="Arial" w:cs="Arial" w:eastAsia="Arial" w:hAnsi="Arial"/>
          <w:b w:val="false"/>
          <w:bCs w:val="false"/>
          <w:i w:val="false"/>
          <w:iCs w:val="false"/>
          <w:color w:val="0C0D10"/>
          <w:sz w:val="22"/>
          <w:szCs w:val="22"/>
        </w:rPr>
        <w:t xml:space="preserve">Metrics that test the 12+ languages at parity commitment. From Ch.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800"/>
        <w:gridCol w:w="3780"/>
      </w:tblGrid>
      <w:tr>
        <w:trPr>
          <w:tblHeader/>
        </w:trPr>
        <w:tc>
          <w:tcPr>
            <w:tcW w:type="dxa" w:w="2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7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37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Production-language count</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12</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37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STT vs benchmark per language</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+5% per lang</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Core / Voice</w:t>
            </w:r>
          </w:p>
        </w:tc>
        <w:tc>
          <w:tcPr>
            <w:tcW w:type="dxa" w:w="37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Response language match rate</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37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Mid-sentence code-switch handling</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 per pair</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Localisation</w:t>
            </w:r>
          </w:p>
        </w:tc>
        <w:tc>
          <w:tcPr>
            <w:tcW w:type="dxa" w:w="37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 per pair</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Per-language CSAT delta</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10pp</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Quality</w:t>
            </w:r>
          </w:p>
        </w:tc>
        <w:tc>
          <w:tcPr>
            <w:tcW w:type="dxa" w:w="37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Per-language CSAT floor</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70% per lang</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Quality</w:t>
            </w:r>
          </w:p>
        </w:tc>
        <w:tc>
          <w:tcPr>
            <w:tcW w:type="dxa" w:w="37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Tone-classifier delta across languages</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0.10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37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Cultural caricature flagging</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37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Zero-English audit per signature exp.</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pre-GA</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QA</w:t>
            </w:r>
          </w:p>
        </w:tc>
        <w:tc>
          <w:tcPr>
            <w:tcW w:type="dxa" w:w="37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Release-gated</w:t>
            </w:r>
          </w:p>
        </w:tc>
      </w:tr>
      <w:tr>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Bharat tier-2 / tier-3 usability floor</w:t>
            </w:r>
          </w:p>
        </w:tc>
        <w:tc>
          <w:tcPr>
            <w:tcW w:type="dxa" w:w="17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UXR</w:t>
            </w:r>
          </w:p>
        </w:tc>
        <w:tc>
          <w:tcPr>
            <w:tcW w:type="dxa" w:w="37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panel</w:t>
            </w:r>
          </w:p>
        </w:tc>
      </w:tr>
      <w:tr>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Indian convention rendering</w:t>
            </w:r>
          </w:p>
        </w:tc>
        <w:tc>
          <w:tcPr>
            <w:tcW w:type="dxa" w:w="17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deviations / 10k</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37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 nightly</w:t>
            </w:r>
          </w:p>
        </w:tc>
      </w:tr>
    </w:tbl>
    <w:p>
      <w:pPr>
        <w:pStyle w:val="Heading1"/>
        <w:spacing w:after="120" w:before="360"/>
      </w:pPr>
      <w:r>
        <w:rPr>
          <w:rFonts w:ascii="Arial" w:cs="Arial" w:eastAsia="Arial" w:hAnsi="Arial"/>
          <w:b/>
          <w:bCs/>
          <w:color w:val="0C0D10"/>
          <w:sz w:val="32"/>
          <w:szCs w:val="32"/>
        </w:rPr>
        <w:t xml:space="preserve">8.  Reliability + cost</w:t>
      </w:r>
    </w:p>
    <w:p>
      <w:pPr>
        <w:spacing w:after="120" w:before="0" w:line="320"/>
        <w:jc w:val="left"/>
      </w:pPr>
      <w:r>
        <w:rPr>
          <w:rFonts w:ascii="Arial" w:cs="Arial" w:eastAsia="Arial" w:hAnsi="Arial"/>
          <w:b w:val="false"/>
          <w:bCs w:val="false"/>
          <w:i w:val="false"/>
          <w:iCs w:val="false"/>
          <w:color w:val="0C0D10"/>
          <w:sz w:val="22"/>
          <w:szCs w:val="22"/>
        </w:rPr>
        <w:t xml:space="preserve">Metrics that test platform reliability and unit economics. From Ch. 5 + Ch. 9 + GA Op. Goal 07.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8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Quality eval pass rate (CI/CD gate)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Core / QA</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Stable at concurrent load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100K concurrent · 30% headroom</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Platform</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Load test per release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Availability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99.5%</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Platform</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p50 simple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2.5s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p50 multi-skill</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15s</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Chat p50 simple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1.5s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Chat p50 multi-skill</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10s</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Cost per query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₹0.05</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AI</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MTTD (mean time to detect)</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 min</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Platform</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MTTR (mean time to recover)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30 min</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Platform</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PR-to-prod gate time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2h</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 service stand-up time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 days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Platform</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service</w:t>
            </w:r>
          </w:p>
        </w:tc>
      </w:tr>
    </w:tbl>
    <w:p>
      <w:pPr>
        <w:pStyle w:val="Heading1"/>
        <w:spacing w:after="120" w:before="360"/>
      </w:pPr>
      <w:r>
        <w:rPr>
          <w:rFonts w:ascii="Arial" w:cs="Arial" w:eastAsia="Arial" w:hAnsi="Arial"/>
          <w:b/>
          <w:bCs/>
          <w:color w:val="0C0D10"/>
          <w:sz w:val="32"/>
          <w:szCs w:val="32"/>
        </w:rPr>
        <w:t xml:space="preserve">9.  Trust + guardrail metrics</w:t>
      </w:r>
    </w:p>
    <w:p>
      <w:pPr>
        <w:spacing w:after="120" w:before="0" w:line="320"/>
        <w:jc w:val="left"/>
      </w:pPr>
      <w:r>
        <w:rPr>
          <w:rFonts w:ascii="Arial" w:cs="Arial" w:eastAsia="Arial" w:hAnsi="Arial"/>
          <w:b w:val="false"/>
          <w:bCs w:val="false"/>
          <w:i w:val="false"/>
          <w:iCs w:val="false"/>
          <w:color w:val="0C0D10"/>
          <w:sz w:val="22"/>
          <w:szCs w:val="22"/>
        </w:rPr>
        <w:t xml:space="preserve">Metrics that test the safety, privacy, and consent floors. From Ch. 8 + Ch. 9 + Ch. 13.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800"/>
        <w:gridCol w:w="28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8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FNR per category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5%</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Guardrails / AI</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hard-block FNR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Guardrails / Compliance</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FPR (over-refusal)</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Guardrails / AI</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uptime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99.9%</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Guardrails</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Ledger write success rate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99.99%</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Compliance</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Secrets in logs / memory / ledger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Security</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sweep</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Auth floor lowering events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audit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DPDP memory delete propagation p99</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24h</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team</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SLO</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Deleted memory non-resurfacing</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 QA</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 audit</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Cross-partner data exchange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unauthorised / 30d</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Rolling 30-day audit</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 content provision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&amp; Safety / Guardrails</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 + nightly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Categorical confidentiality claims</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Compliance</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Sourced-verdict compliance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&amp; Safety</w:t>
            </w:r>
          </w:p>
        </w:tc>
        <w:tc>
          <w:tcPr>
            <w:tcW w:type="dxa" w:w="28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verdict-rendering surface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Cross-modal desync events</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 / 10k turns</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QA</w:t>
            </w:r>
          </w:p>
        </w:tc>
        <w:tc>
          <w:tcPr>
            <w:tcW w:type="dxa" w:w="28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w:t>
            </w:r>
          </w:p>
        </w:tc>
      </w:tr>
    </w:tbl>
    <w:p>
      <w:pPr>
        <w:pStyle w:val="Heading1"/>
        <w:spacing w:after="120" w:before="360"/>
      </w:pPr>
      <w:r>
        <w:rPr>
          <w:rFonts w:ascii="Arial" w:cs="Arial" w:eastAsia="Arial" w:hAnsi="Arial"/>
          <w:b/>
          <w:bCs/>
          <w:color w:val="0C0D10"/>
          <w:sz w:val="32"/>
          <w:szCs w:val="32"/>
        </w:rPr>
        <w:t xml:space="preserve">10.  Repair metrics</w:t>
      </w:r>
    </w:p>
    <w:p>
      <w:pPr>
        <w:spacing w:after="120" w:before="0" w:line="320"/>
        <w:jc w:val="left"/>
      </w:pPr>
      <w:r>
        <w:rPr>
          <w:rFonts w:ascii="Arial" w:cs="Arial" w:eastAsia="Arial" w:hAnsi="Arial"/>
          <w:b w:val="false"/>
          <w:bCs w:val="false"/>
          <w:i w:val="false"/>
          <w:iCs w:val="false"/>
          <w:color w:val="0C0D10"/>
          <w:sz w:val="22"/>
          <w:szCs w:val="22"/>
        </w:rPr>
        <w:t xml:space="preserve">Metrics that test how well JBIQ fails. From Ch. 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32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3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Long-prompt loss rate (&gt; 60s voice prompts)</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1% post-deploy</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 / Engineering</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Incoming-call resumption success</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w:t>
            </w:r>
          </w:p>
        </w:tc>
        <w:tc>
          <w:tcPr>
            <w:tcW w:type="dxa" w:w="3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Silent failure rate</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QA</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User-rated repair quality (post-failure CSAT)</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Within 0.5 of expert reference</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Product / Quality</w:t>
            </w:r>
          </w:p>
        </w:tc>
        <w:tc>
          <w:tcPr>
            <w:tcW w:type="dxa" w:w="3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 + quarterly recalibration</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Repair vocabulary completeness per language</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 8 classes per language</w:t>
            </w:r>
          </w:p>
        </w:tc>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language before GA-quality release</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Policy-detail leak in refusals</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Compliance</w:t>
            </w:r>
          </w:p>
        </w:tc>
        <w:tc>
          <w:tcPr>
            <w:tcW w:type="dxa" w:w="3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r>
    </w:tbl>
    <w:p>
      <w:pPr>
        <w:pStyle w:val="Heading1"/>
        <w:spacing w:after="120" w:before="360"/>
      </w:pPr>
      <w:r>
        <w:rPr>
          <w:rFonts w:ascii="Arial" w:cs="Arial" w:eastAsia="Arial" w:hAnsi="Arial"/>
          <w:b/>
          <w:bCs/>
          <w:color w:val="0C0D10"/>
          <w:sz w:val="32"/>
          <w:szCs w:val="32"/>
        </w:rPr>
        <w:t xml:space="preserve">11.  The QA regression suite</w:t>
      </w:r>
    </w:p>
    <w:p>
      <w:pPr>
        <w:spacing w:after="120" w:before="0" w:line="320"/>
        <w:jc w:val="left"/>
      </w:pPr>
      <w:r>
        <w:rPr>
          <w:rFonts w:ascii="Arial" w:cs="Arial" w:eastAsia="Arial" w:hAnsi="Arial"/>
          <w:b w:val="false"/>
          <w:bCs w:val="false"/>
          <w:i w:val="false"/>
          <w:iCs w:val="false"/>
          <w:color w:val="0C0D10"/>
          <w:sz w:val="22"/>
          <w:szCs w:val="22"/>
        </w:rPr>
        <w:t xml:space="preserve">The QA regression suite runs on every model release. Failure on any check blocks the release. New chapters and new rules add to the suite; rules are not retired without a documented exception process (§13).</w:t>
      </w:r>
    </w:p>
    <w:p>
      <w:pPr>
        <w:pStyle w:val="Heading2"/>
        <w:spacing w:after="80" w:before="280"/>
      </w:pPr>
      <w:r>
        <w:rPr>
          <w:rFonts w:ascii="Arial" w:cs="Arial" w:eastAsia="Arial" w:hAnsi="Arial"/>
          <w:b/>
          <w:bCs/>
          <w:color w:val="0C0D10"/>
          <w:sz w:val="26"/>
          <w:szCs w:val="26"/>
        </w:rPr>
        <w:t xml:space="preserve">11.1  What runs on every release</w:t>
      </w:r>
    </w:p>
    <w:p>
      <w:pPr>
        <w:pStyle w:val="ListParagraph"/>
        <w:numPr>
          <w:ilvl w:val="0"/>
          <w:numId w:val="2"/>
        </w:numPr>
        <w:spacing w:after="40" w:before="40" w:line="320"/>
      </w:pPr>
      <w:r>
        <w:rPr>
          <w:rFonts w:ascii="Arial" w:cs="Arial" w:eastAsia="Arial" w:hAnsi="Arial"/>
          <w:color w:val="0C0D10"/>
          <w:sz w:val="22"/>
          <w:szCs w:val="22"/>
        </w:rPr>
        <w:t xml:space="preserve">Forbidden-phrase regex suite (all of Ch. 13 §3).</w:t>
      </w:r>
    </w:p>
    <w:p>
      <w:pPr>
        <w:pStyle w:val="ListParagraph"/>
        <w:numPr>
          <w:ilvl w:val="0"/>
          <w:numId w:val="2"/>
        </w:numPr>
        <w:spacing w:after="40" w:before="40" w:line="320"/>
      </w:pPr>
      <w:r>
        <w:rPr>
          <w:rFonts w:ascii="Arial" w:cs="Arial" w:eastAsia="Arial" w:hAnsi="Arial"/>
          <w:color w:val="0C0D10"/>
          <w:sz w:val="22"/>
          <w:szCs w:val="22"/>
        </w:rPr>
        <w:t xml:space="preserve">Forbidden-opener / closer regex (Ch. 3 §6.2, §7.2).</w:t>
      </w:r>
    </w:p>
    <w:p>
      <w:pPr>
        <w:pStyle w:val="ListParagraph"/>
        <w:numPr>
          <w:ilvl w:val="0"/>
          <w:numId w:val="2"/>
        </w:numPr>
        <w:spacing w:after="40" w:before="40" w:line="320"/>
      </w:pPr>
      <w:r>
        <w:rPr>
          <w:rFonts w:ascii="Arial" w:cs="Arial" w:eastAsia="Arial" w:hAnsi="Arial"/>
          <w:color w:val="0C0D10"/>
          <w:sz w:val="22"/>
          <w:szCs w:val="22"/>
        </w:rPr>
        <w:t xml:space="preserve">AI self-reference classifier (Ch. 1 invariant 2).</w:t>
      </w:r>
    </w:p>
    <w:p>
      <w:pPr>
        <w:pStyle w:val="ListParagraph"/>
        <w:numPr>
          <w:ilvl w:val="0"/>
          <w:numId w:val="2"/>
        </w:numPr>
        <w:spacing w:after="40" w:before="40" w:line="320"/>
      </w:pPr>
      <w:r>
        <w:rPr>
          <w:rFonts w:ascii="Arial" w:cs="Arial" w:eastAsia="Arial" w:hAnsi="Arial"/>
          <w:color w:val="0C0D10"/>
          <w:sz w:val="22"/>
          <w:szCs w:val="22"/>
        </w:rPr>
        <w:t xml:space="preserve">Secrets regex on logs / memory / ledger / adapter traces (Ch. 8 §7).</w:t>
      </w:r>
    </w:p>
    <w:p>
      <w:pPr>
        <w:pStyle w:val="ListParagraph"/>
        <w:numPr>
          <w:ilvl w:val="0"/>
          <w:numId w:val="2"/>
        </w:numPr>
        <w:spacing w:after="40" w:before="40" w:line="320"/>
      </w:pPr>
      <w:r>
        <w:rPr>
          <w:rFonts w:ascii="Arial" w:cs="Arial" w:eastAsia="Arial" w:hAnsi="Arial"/>
          <w:color w:val="0C0D10"/>
          <w:sz w:val="22"/>
          <w:szCs w:val="22"/>
        </w:rPr>
        <w:t xml:space="preserve">Prohibited-pattern classifier suite (Ch. 4 §10, Ch. 13 §4–§10).</w:t>
      </w:r>
    </w:p>
    <w:p>
      <w:pPr>
        <w:pStyle w:val="ListParagraph"/>
        <w:numPr>
          <w:ilvl w:val="0"/>
          <w:numId w:val="2"/>
        </w:numPr>
        <w:spacing w:after="40" w:before="40" w:line="320"/>
      </w:pPr>
      <w:r>
        <w:rPr>
          <w:rFonts w:ascii="Arial" w:cs="Arial" w:eastAsia="Arial" w:hAnsi="Arial"/>
          <w:color w:val="0C0D10"/>
          <w:sz w:val="22"/>
          <w:szCs w:val="22"/>
        </w:rPr>
        <w:t xml:space="preserve">Cross-modal anchor-match audit (Ch. 10 §5).</w:t>
      </w:r>
    </w:p>
    <w:p>
      <w:pPr>
        <w:pStyle w:val="ListParagraph"/>
        <w:numPr>
          <w:ilvl w:val="0"/>
          <w:numId w:val="2"/>
        </w:numPr>
        <w:spacing w:after="40" w:before="40" w:line="320"/>
      </w:pPr>
      <w:r>
        <w:rPr>
          <w:rFonts w:ascii="Arial" w:cs="Arial" w:eastAsia="Arial" w:hAnsi="Arial"/>
          <w:color w:val="0C0D10"/>
          <w:sz w:val="22"/>
          <w:szCs w:val="22"/>
        </w:rPr>
        <w:t xml:space="preserve">Compliance Ledger write success rate on synthetic commit-class flows (Ch. 8 §9).</w:t>
      </w:r>
    </w:p>
    <w:p>
      <w:pPr>
        <w:pStyle w:val="ListParagraph"/>
        <w:numPr>
          <w:ilvl w:val="0"/>
          <w:numId w:val="2"/>
        </w:numPr>
        <w:spacing w:after="40" w:before="40" w:line="320"/>
      </w:pPr>
      <w:r>
        <w:rPr>
          <w:rFonts w:ascii="Arial" w:cs="Arial" w:eastAsia="Arial" w:hAnsi="Arial"/>
          <w:color w:val="0C0D10"/>
          <w:sz w:val="22"/>
          <w:szCs w:val="22"/>
        </w:rPr>
        <w:t xml:space="preserve">Cinematic-experience persona consistency on the GA cinematic set (Ch. 5 §12).</w:t>
      </w:r>
    </w:p>
    <w:p>
      <w:pPr>
        <w:pStyle w:val="ListParagraph"/>
        <w:numPr>
          <w:ilvl w:val="0"/>
          <w:numId w:val="2"/>
        </w:numPr>
        <w:spacing w:after="40" w:before="40" w:line="320"/>
      </w:pPr>
      <w:r>
        <w:rPr>
          <w:rFonts w:ascii="Arial" w:cs="Arial" w:eastAsia="Arial" w:hAnsi="Arial"/>
          <w:color w:val="0C0D10"/>
          <w:sz w:val="22"/>
          <w:szCs w:val="22"/>
        </w:rPr>
        <w:t xml:space="preserve">Self-harm content hard-block test set (Ch. 12 §8.3, Ch. 13).</w:t>
      </w:r>
    </w:p>
    <w:p>
      <w:pPr>
        <w:pStyle w:val="ListParagraph"/>
        <w:numPr>
          <w:ilvl w:val="0"/>
          <w:numId w:val="2"/>
        </w:numPr>
        <w:spacing w:after="40" w:before="40" w:line="320"/>
      </w:pPr>
      <w:r>
        <w:rPr>
          <w:rFonts w:ascii="Arial" w:cs="Arial" w:eastAsia="Arial" w:hAnsi="Arial"/>
          <w:color w:val="0C0D10"/>
          <w:sz w:val="22"/>
          <w:szCs w:val="22"/>
        </w:rPr>
        <w:t xml:space="preserve">DPDP memory delete propagation synthetic check (Ch. 7 §13).</w:t>
      </w:r>
    </w:p>
    <w:p>
      <w:pPr>
        <w:pStyle w:val="ListParagraph"/>
        <w:numPr>
          <w:ilvl w:val="0"/>
          <w:numId w:val="2"/>
        </w:numPr>
        <w:spacing w:after="40" w:before="40" w:line="320"/>
      </w:pPr>
      <w:r>
        <w:rPr>
          <w:rFonts w:ascii="Arial" w:cs="Arial" w:eastAsia="Arial" w:hAnsi="Arial"/>
          <w:color w:val="0C0D10"/>
          <w:sz w:val="22"/>
          <w:szCs w:val="22"/>
        </w:rPr>
        <w:t xml:space="preserve">Cross-language tone-classifier delta across production languages (Ch. 6 §4).</w:t>
      </w:r>
    </w:p>
    <w:p>
      <w:pPr>
        <w:pStyle w:val="ListParagraph"/>
        <w:numPr>
          <w:ilvl w:val="0"/>
          <w:numId w:val="2"/>
        </w:numPr>
        <w:spacing w:after="40" w:before="40" w:line="320"/>
      </w:pPr>
      <w:r>
        <w:rPr>
          <w:rFonts w:ascii="Arial" w:cs="Arial" w:eastAsia="Arial" w:hAnsi="Arial"/>
          <w:color w:val="0C0D10"/>
          <w:sz w:val="22"/>
          <w:szCs w:val="22"/>
        </w:rPr>
        <w:t xml:space="preserve">Voice latency benchmark on a canonical intent set (Ch. 5 §15).</w:t>
      </w:r>
    </w:p>
    <w:p>
      <w:pPr>
        <w:pStyle w:val="ListParagraph"/>
        <w:numPr>
          <w:ilvl w:val="0"/>
          <w:numId w:val="2"/>
        </w:numPr>
        <w:spacing w:after="40" w:before="40" w:line="320"/>
      </w:pPr>
      <w:r>
        <w:rPr>
          <w:rFonts w:ascii="Arial" w:cs="Arial" w:eastAsia="Arial" w:hAnsi="Arial"/>
          <w:color w:val="0C0D10"/>
          <w:sz w:val="22"/>
          <w:szCs w:val="22"/>
        </w:rPr>
        <w:t xml:space="preserve">Sourced-verdict compliance audit on verdict-rendering surfaces (Ch. 11 + Ch. 13).</w:t>
      </w:r>
    </w:p>
    <w:p>
      <w:pPr>
        <w:pStyle w:val="Heading2"/>
        <w:spacing w:after="80" w:before="280"/>
      </w:pPr>
      <w:r>
        <w:rPr>
          <w:rFonts w:ascii="Arial" w:cs="Arial" w:eastAsia="Arial" w:hAnsi="Arial"/>
          <w:b/>
          <w:bCs/>
          <w:color w:val="0C0D10"/>
          <w:sz w:val="26"/>
          <w:szCs w:val="26"/>
        </w:rPr>
        <w:t xml:space="preserve">11.2  What runs nightly</w:t>
      </w:r>
    </w:p>
    <w:p>
      <w:pPr>
        <w:pStyle w:val="ListParagraph"/>
        <w:numPr>
          <w:ilvl w:val="0"/>
          <w:numId w:val="2"/>
        </w:numPr>
        <w:spacing w:after="40" w:before="40" w:line="320"/>
      </w:pPr>
      <w:r>
        <w:rPr>
          <w:rFonts w:ascii="Arial" w:cs="Arial" w:eastAsia="Arial" w:hAnsi="Arial"/>
          <w:color w:val="0C0D10"/>
          <w:sz w:val="22"/>
          <w:szCs w:val="22"/>
        </w:rPr>
        <w:t xml:space="preserve">Sampled production replies × tone-classifier × intent-shape stratification.</w:t>
      </w:r>
    </w:p>
    <w:p>
      <w:pPr>
        <w:pStyle w:val="ListParagraph"/>
        <w:numPr>
          <w:ilvl w:val="0"/>
          <w:numId w:val="2"/>
        </w:numPr>
        <w:spacing w:after="40" w:before="40" w:line="320"/>
      </w:pPr>
      <w:r>
        <w:rPr>
          <w:rFonts w:ascii="Arial" w:cs="Arial" w:eastAsia="Arial" w:hAnsi="Arial"/>
          <w:color w:val="0C0D10"/>
          <w:sz w:val="22"/>
          <w:szCs w:val="22"/>
        </w:rPr>
        <w:t xml:space="preserve">Sampled production voice transcripts × four-beat classifier.</w:t>
      </w:r>
    </w:p>
    <w:p>
      <w:pPr>
        <w:pStyle w:val="ListParagraph"/>
        <w:numPr>
          <w:ilvl w:val="0"/>
          <w:numId w:val="2"/>
        </w:numPr>
        <w:spacing w:after="40" w:before="40" w:line="320"/>
      </w:pPr>
      <w:r>
        <w:rPr>
          <w:rFonts w:ascii="Arial" w:cs="Arial" w:eastAsia="Arial" w:hAnsi="Arial"/>
          <w:color w:val="0C0D10"/>
          <w:sz w:val="22"/>
          <w:szCs w:val="22"/>
        </w:rPr>
        <w:t xml:space="preserve">Sampled refinement events × chip-vs-question classifier.</w:t>
      </w:r>
    </w:p>
    <w:p>
      <w:pPr>
        <w:pStyle w:val="ListParagraph"/>
        <w:numPr>
          <w:ilvl w:val="0"/>
          <w:numId w:val="2"/>
        </w:numPr>
        <w:spacing w:after="40" w:before="40" w:line="320"/>
      </w:pPr>
      <w:r>
        <w:rPr>
          <w:rFonts w:ascii="Arial" w:cs="Arial" w:eastAsia="Arial" w:hAnsi="Arial"/>
          <w:color w:val="0C0D10"/>
          <w:sz w:val="22"/>
          <w:szCs w:val="22"/>
        </w:rPr>
        <w:t xml:space="preserve">Sampled commitment-class flows × commitment-state audit.</w:t>
      </w:r>
    </w:p>
    <w:p>
      <w:pPr>
        <w:pStyle w:val="ListParagraph"/>
        <w:numPr>
          <w:ilvl w:val="0"/>
          <w:numId w:val="2"/>
        </w:numPr>
        <w:spacing w:after="40" w:before="40" w:line="320"/>
      </w:pPr>
      <w:r>
        <w:rPr>
          <w:rFonts w:ascii="Arial" w:cs="Arial" w:eastAsia="Arial" w:hAnsi="Arial"/>
          <w:color w:val="0C0D10"/>
          <w:sz w:val="22"/>
          <w:szCs w:val="22"/>
        </w:rPr>
        <w:t xml:space="preserve">Cross-modal desync audit on sampled voice + UI turns.</w:t>
      </w:r>
    </w:p>
    <w:p>
      <w:pPr>
        <w:pStyle w:val="ListParagraph"/>
        <w:numPr>
          <w:ilvl w:val="0"/>
          <w:numId w:val="2"/>
        </w:numPr>
        <w:spacing w:after="40" w:before="40" w:line="320"/>
      </w:pPr>
      <w:r>
        <w:rPr>
          <w:rFonts w:ascii="Arial" w:cs="Arial" w:eastAsia="Arial" w:hAnsi="Arial"/>
          <w:color w:val="0C0D10"/>
          <w:sz w:val="22"/>
          <w:szCs w:val="22"/>
        </w:rPr>
        <w:t xml:space="preserve">Sensitive-mode classifier × upsell-regex intersection check.</w:t>
      </w:r>
    </w:p>
    <w:p>
      <w:pPr>
        <w:pStyle w:val="ListParagraph"/>
        <w:numPr>
          <w:ilvl w:val="0"/>
          <w:numId w:val="2"/>
        </w:numPr>
        <w:spacing w:after="40" w:before="40" w:line="320"/>
      </w:pPr>
      <w:r>
        <w:rPr>
          <w:rFonts w:ascii="Arial" w:cs="Arial" w:eastAsia="Arial" w:hAnsi="Arial"/>
          <w:color w:val="0C0D10"/>
          <w:sz w:val="22"/>
          <w:szCs w:val="22"/>
        </w:rPr>
        <w:t xml:space="preserve">Surveillance-language classifier on sampled day-0-warm-start turns.</w:t>
      </w:r>
    </w:p>
    <w:p>
      <w:pPr>
        <w:pStyle w:val="ListParagraph"/>
        <w:numPr>
          <w:ilvl w:val="0"/>
          <w:numId w:val="2"/>
        </w:numPr>
        <w:spacing w:after="40" w:before="40" w:line="320"/>
      </w:pPr>
      <w:r>
        <w:rPr>
          <w:rFonts w:ascii="Arial" w:cs="Arial" w:eastAsia="Arial" w:hAnsi="Arial"/>
          <w:color w:val="0C0D10"/>
          <w:sz w:val="22"/>
          <w:szCs w:val="22"/>
        </w:rPr>
        <w:t xml:space="preserve">Convention-regex audit (₹, lakhs, DD/MM, am/pm, km).</w:t>
      </w:r>
    </w:p>
    <w:p>
      <w:pPr>
        <w:pStyle w:val="ListParagraph"/>
        <w:numPr>
          <w:ilvl w:val="0"/>
          <w:numId w:val="2"/>
        </w:numPr>
        <w:spacing w:after="40" w:before="40" w:line="320"/>
      </w:pPr>
      <w:r>
        <w:rPr>
          <w:rFonts w:ascii="Arial" w:cs="Arial" w:eastAsia="Arial" w:hAnsi="Arial"/>
          <w:color w:val="0C0D10"/>
          <w:sz w:val="22"/>
          <w:szCs w:val="22"/>
        </w:rPr>
        <w:t xml:space="preserve">Per-language match-rate sample × code-switch handling.</w:t>
      </w:r>
    </w:p>
    <w:p>
      <w:pPr>
        <w:pStyle w:val="Heading2"/>
        <w:spacing w:after="80" w:before="280"/>
      </w:pPr>
      <w:r>
        <w:rPr>
          <w:rFonts w:ascii="Arial" w:cs="Arial" w:eastAsia="Arial" w:hAnsi="Arial"/>
          <w:b/>
          <w:bCs/>
          <w:color w:val="0C0D10"/>
          <w:sz w:val="26"/>
          <w:szCs w:val="26"/>
        </w:rPr>
        <w:t xml:space="preserve">11.3  What runs weekly</w:t>
      </w:r>
    </w:p>
    <w:p>
      <w:pPr>
        <w:pStyle w:val="ListParagraph"/>
        <w:numPr>
          <w:ilvl w:val="0"/>
          <w:numId w:val="2"/>
        </w:numPr>
        <w:spacing w:after="40" w:before="40" w:line="320"/>
      </w:pPr>
      <w:r>
        <w:rPr>
          <w:rFonts w:ascii="Arial" w:cs="Arial" w:eastAsia="Arial" w:hAnsi="Arial"/>
          <w:color w:val="0C0D10"/>
          <w:sz w:val="22"/>
          <w:szCs w:val="22"/>
        </w:rPr>
        <w:t xml:space="preserve">Cross-surface consistency comparison.</w:t>
      </w:r>
    </w:p>
    <w:p>
      <w:pPr>
        <w:pStyle w:val="ListParagraph"/>
        <w:numPr>
          <w:ilvl w:val="0"/>
          <w:numId w:val="2"/>
        </w:numPr>
        <w:spacing w:after="40" w:before="40" w:line="320"/>
      </w:pPr>
      <w:r>
        <w:rPr>
          <w:rFonts w:ascii="Arial" w:cs="Arial" w:eastAsia="Arial" w:hAnsi="Arial"/>
          <w:color w:val="0C0D10"/>
          <w:sz w:val="22"/>
          <w:szCs w:val="22"/>
        </w:rPr>
        <w:t xml:space="preserve">Cross-language CSAT delta.</w:t>
      </w:r>
    </w:p>
    <w:p>
      <w:pPr>
        <w:pStyle w:val="ListParagraph"/>
        <w:numPr>
          <w:ilvl w:val="0"/>
          <w:numId w:val="2"/>
        </w:numPr>
        <w:spacing w:after="40" w:before="40" w:line="320"/>
      </w:pPr>
      <w:r>
        <w:rPr>
          <w:rFonts w:ascii="Arial" w:cs="Arial" w:eastAsia="Arial" w:hAnsi="Arial"/>
          <w:color w:val="0C0D10"/>
          <w:sz w:val="22"/>
          <w:szCs w:val="22"/>
        </w:rPr>
        <w:t xml:space="preserve">Guardrail FNR / FPR on labelled test sets.</w:t>
      </w:r>
    </w:p>
    <w:p>
      <w:pPr>
        <w:pStyle w:val="ListParagraph"/>
        <w:numPr>
          <w:ilvl w:val="0"/>
          <w:numId w:val="2"/>
        </w:numPr>
        <w:spacing w:after="40" w:before="40" w:line="320"/>
      </w:pPr>
      <w:r>
        <w:rPr>
          <w:rFonts w:ascii="Arial" w:cs="Arial" w:eastAsia="Arial" w:hAnsi="Arial"/>
          <w:color w:val="0C0D10"/>
          <w:sz w:val="22"/>
          <w:szCs w:val="22"/>
        </w:rPr>
        <w:t xml:space="preserve">Per-partner SLA health + cold-start budget audit.</w:t>
      </w:r>
    </w:p>
    <w:p>
      <w:pPr>
        <w:pStyle w:val="ListParagraph"/>
        <w:numPr>
          <w:ilvl w:val="0"/>
          <w:numId w:val="2"/>
        </w:numPr>
        <w:spacing w:after="40" w:before="40" w:line="320"/>
      </w:pPr>
      <w:r>
        <w:rPr>
          <w:rFonts w:ascii="Arial" w:cs="Arial" w:eastAsia="Arial" w:hAnsi="Arial"/>
          <w:color w:val="0C0D10"/>
          <w:sz w:val="22"/>
          <w:szCs w:val="22"/>
        </w:rPr>
        <w:t xml:space="preserve">Helpline directory accuracy.</w:t>
      </w:r>
    </w:p>
    <w:p>
      <w:pPr>
        <w:pStyle w:val="Heading2"/>
        <w:spacing w:after="80" w:before="280"/>
      </w:pPr>
      <w:r>
        <w:rPr>
          <w:rFonts w:ascii="Arial" w:cs="Arial" w:eastAsia="Arial" w:hAnsi="Arial"/>
          <w:b/>
          <w:bCs/>
          <w:color w:val="0C0D10"/>
          <w:sz w:val="26"/>
          <w:szCs w:val="26"/>
        </w:rPr>
        <w:t xml:space="preserve">11.4  What runs quarterly</w:t>
      </w:r>
    </w:p>
    <w:p>
      <w:pPr>
        <w:pStyle w:val="ListParagraph"/>
        <w:numPr>
          <w:ilvl w:val="0"/>
          <w:numId w:val="2"/>
        </w:numPr>
        <w:spacing w:after="40" w:before="40" w:line="320"/>
      </w:pPr>
      <w:r>
        <w:rPr>
          <w:rFonts w:ascii="Arial" w:cs="Arial" w:eastAsia="Arial" w:hAnsi="Arial"/>
          <w:color w:val="0C0D10"/>
          <w:sz w:val="22"/>
          <w:szCs w:val="22"/>
        </w:rPr>
        <w:t xml:space="preserve">Blind-attribution calibration panel (Ch. 1 §10).</w:t>
      </w:r>
    </w:p>
    <w:p>
      <w:pPr>
        <w:pStyle w:val="ListParagraph"/>
        <w:numPr>
          <w:ilvl w:val="0"/>
          <w:numId w:val="2"/>
        </w:numPr>
        <w:spacing w:after="40" w:before="40" w:line="320"/>
      </w:pPr>
      <w:r>
        <w:rPr>
          <w:rFonts w:ascii="Arial" w:cs="Arial" w:eastAsia="Arial" w:hAnsi="Arial"/>
          <w:color w:val="0C0D10"/>
          <w:sz w:val="22"/>
          <w:szCs w:val="22"/>
        </w:rPr>
        <w:t xml:space="preserve">Principle-weighted critique calibration panel (Ch. 2 §16).</w:t>
      </w:r>
    </w:p>
    <w:p>
      <w:pPr>
        <w:pStyle w:val="ListParagraph"/>
        <w:numPr>
          <w:ilvl w:val="0"/>
          <w:numId w:val="2"/>
        </w:numPr>
        <w:spacing w:after="40" w:before="40" w:line="320"/>
      </w:pPr>
      <w:r>
        <w:rPr>
          <w:rFonts w:ascii="Arial" w:cs="Arial" w:eastAsia="Arial" w:hAnsi="Arial"/>
          <w:color w:val="0C0D10"/>
          <w:sz w:val="22"/>
          <w:szCs w:val="22"/>
        </w:rPr>
        <w:t xml:space="preserve">Allowed-emoji vocabulary review (Ch. 1 §6).</w:t>
      </w:r>
    </w:p>
    <w:p>
      <w:pPr>
        <w:pStyle w:val="ListParagraph"/>
        <w:numPr>
          <w:ilvl w:val="0"/>
          <w:numId w:val="2"/>
        </w:numPr>
        <w:spacing w:after="40" w:before="40" w:line="320"/>
      </w:pPr>
      <w:r>
        <w:rPr>
          <w:rFonts w:ascii="Arial" w:cs="Arial" w:eastAsia="Arial" w:hAnsi="Arial"/>
          <w:color w:val="0C0D10"/>
          <w:sz w:val="22"/>
          <w:szCs w:val="22"/>
        </w:rPr>
        <w:t xml:space="preserve">Bharat tier-2 / tier-3 usability panel (Ch. 6 §13).</w:t>
      </w:r>
    </w:p>
    <w:p>
      <w:pPr>
        <w:pStyle w:val="ListParagraph"/>
        <w:numPr>
          <w:ilvl w:val="0"/>
          <w:numId w:val="2"/>
        </w:numPr>
        <w:spacing w:after="40" w:before="40" w:line="320"/>
      </w:pPr>
      <w:r>
        <w:rPr>
          <w:rFonts w:ascii="Arial" w:cs="Arial" w:eastAsia="Arial" w:hAnsi="Arial"/>
          <w:color w:val="0C0D10"/>
          <w:sz w:val="22"/>
          <w:szCs w:val="22"/>
        </w:rPr>
        <w:t xml:space="preserve">Helpline directory comprehensive review (Ch. 12 §6.3).</w:t>
      </w:r>
    </w:p>
    <w:p>
      <w:pPr>
        <w:pStyle w:val="ListParagraph"/>
        <w:numPr>
          <w:ilvl w:val="0"/>
          <w:numId w:val="2"/>
        </w:numPr>
        <w:spacing w:after="40" w:before="40" w:line="320"/>
      </w:pPr>
      <w:r>
        <w:rPr>
          <w:rFonts w:ascii="Arial" w:cs="Arial" w:eastAsia="Arial" w:hAnsi="Arial"/>
          <w:color w:val="0C0D10"/>
          <w:sz w:val="22"/>
          <w:szCs w:val="22"/>
        </w:rPr>
        <w:t xml:space="preserve">Cinematic-experience identity check (Ch. 5).</w:t>
      </w:r>
    </w:p>
    <w:p>
      <w:pPr>
        <w:pStyle w:val="Heading1"/>
        <w:spacing w:after="120" w:before="360"/>
      </w:pPr>
      <w:r>
        <w:rPr>
          <w:rFonts w:ascii="Arial" w:cs="Arial" w:eastAsia="Arial" w:hAnsi="Arial"/>
          <w:b/>
          <w:bCs/>
          <w:color w:val="0C0D10"/>
          <w:sz w:val="32"/>
          <w:szCs w:val="32"/>
        </w:rPr>
        <w:t xml:space="preserve">12.  Acceptance per chapter — the dashboard</w:t>
      </w:r>
    </w:p>
    <w:p>
      <w:pPr>
        <w:spacing w:after="120" w:before="0" w:line="320"/>
        <w:jc w:val="left"/>
      </w:pPr>
      <w:r>
        <w:rPr>
          <w:rFonts w:ascii="Arial" w:cs="Arial" w:eastAsia="Arial" w:hAnsi="Arial"/>
          <w:b w:val="false"/>
          <w:bCs w:val="false"/>
          <w:i w:val="false"/>
          <w:iCs w:val="false"/>
          <w:color w:val="0C0D10"/>
          <w:sz w:val="22"/>
          <w:szCs w:val="22"/>
        </w:rPr>
        <w:t xml:space="preserve">Each chapter has a section that maps its acceptance criteria to metrics. The dashboard structure mirrors that — every chapter's metrics are a section on the live dashboard, with current value, target, owner, and trend.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Chapter</w:t>
            </w:r>
          </w:p>
        </w:tc>
        <w:tc>
          <w:tcPr>
            <w:tcW w:type="dxa" w:w="2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Dashboard section</w:t>
            </w:r>
          </w:p>
        </w:tc>
        <w:tc>
          <w:tcPr>
            <w:tcW w:type="dxa" w:w="50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Lead metric</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 Identity &amp; voice DNA</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 identity</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Blind-attribution accuracy ≥ 85%</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2 — Ten conversation principles</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Principles</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DNA-check pass rate ≥ 90%</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3 — The reply rhythm</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Rhythm</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Beat-detection ≥ 95%</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 Response shapes &amp; anatomy</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Response shape</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Chip-vs-question ≥ 90%</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5 — Voice disclosure</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Four-beat present ≥ 95%; anchor-match ≥ 99%</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6 — Language &amp; cultural fluency</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Language</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 langs live; parity delta ≤ 10pp</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7 — Memory, confidence &amp; autonomy</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Hidden-assumption rate = 0; delete propagation &lt; 24h</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8 — Commitment &amp; security</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Ledger ≥ 99.99%; secrets-in-logs = 0</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9 — Failing well</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Repair</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Long-prompt loss &lt; 1%; silent failures = 0</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10 — Multi-modal handoff</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Multi-modal</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Cross-modal desync ≤ 2 / 10k; anchor-match ≥ 99%</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11 — Partner ecosystem</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Ecosystem</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 partners; Vertical Lift cycle ≤ 7d</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12 — Sensitive moments</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Upsell in sensitive sessions = 0; helpline accuracy ≥ 95%</w:t>
            </w:r>
          </w:p>
        </w:tc>
      </w:tr>
      <w:tr>
        <w:tc>
          <w:tcPr>
            <w:tcW w:type="dxa" w:w="3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13 — What JBIQ never does</w:t>
            </w:r>
          </w:p>
        </w:tc>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Regression</w:t>
            </w:r>
          </w:p>
        </w:tc>
        <w:tc>
          <w:tcPr>
            <w:tcW w:type="dxa" w:w="5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Prohibited-pattern detection = 0 in production</w:t>
            </w:r>
          </w:p>
        </w:tc>
      </w:tr>
      <w:tr>
        <w:tc>
          <w:tcPr>
            <w:tcW w:type="dxa" w:w="3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14 — Measurement &amp; governance</w:t>
            </w:r>
          </w:p>
        </w:tc>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 + governance</w:t>
            </w:r>
          </w:p>
        </w:tc>
        <w:tc>
          <w:tcPr>
            <w:tcW w:type="dxa" w:w="5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 ≥ 2 sessions/user/day; quarterly review on schedule</w:t>
            </w:r>
          </w:p>
        </w:tc>
      </w:tr>
    </w:tbl>
    <w:p>
      <w:pPr>
        <w:pStyle w:val="Heading1"/>
        <w:spacing w:after="120" w:before="360"/>
      </w:pPr>
      <w:r>
        <w:rPr>
          <w:rFonts w:ascii="Arial" w:cs="Arial" w:eastAsia="Arial" w:hAnsi="Arial"/>
          <w:b/>
          <w:bCs/>
          <w:color w:val="0C0D10"/>
          <w:sz w:val="32"/>
          <w:szCs w:val="32"/>
        </w:rPr>
        <w:t xml:space="preserve">13.  The change process</w:t>
      </w:r>
    </w:p>
    <w:p>
      <w:pPr>
        <w:spacing w:after="120" w:before="0" w:line="320"/>
        <w:jc w:val="left"/>
      </w:pPr>
      <w:r>
        <w:rPr>
          <w:rFonts w:ascii="Arial" w:cs="Arial" w:eastAsia="Arial" w:hAnsi="Arial"/>
          <w:b w:val="false"/>
          <w:bCs w:val="false"/>
          <w:i w:val="false"/>
          <w:iCs w:val="false"/>
          <w:color w:val="0C0D10"/>
          <w:sz w:val="22"/>
          <w:szCs w:val="22"/>
        </w:rPr>
        <w:t xml:space="preserve">The playbook is a living document. Changes follow a defined process so the team can evolve the rules without losing coherence.</w:t>
      </w:r>
    </w:p>
    <w:p>
      <w:pPr>
        <w:pStyle w:val="Heading2"/>
        <w:spacing w:after="80" w:before="280"/>
      </w:pPr>
      <w:r>
        <w:rPr>
          <w:rFonts w:ascii="Arial" w:cs="Arial" w:eastAsia="Arial" w:hAnsi="Arial"/>
          <w:b/>
          <w:bCs/>
          <w:color w:val="0C0D10"/>
          <w:sz w:val="26"/>
          <w:szCs w:val="26"/>
        </w:rPr>
        <w:t xml:space="preserve">13.1  Propose</w:t>
      </w:r>
    </w:p>
    <w:p>
      <w:pPr>
        <w:pStyle w:val="ListParagraph"/>
        <w:numPr>
          <w:ilvl w:val="0"/>
          <w:numId w:val="2"/>
        </w:numPr>
        <w:spacing w:after="40" w:before="40" w:line="320"/>
      </w:pPr>
      <w:r>
        <w:rPr>
          <w:rFonts w:ascii="Arial" w:cs="Arial" w:eastAsia="Arial" w:hAnsi="Arial"/>
          <w:color w:val="0C0D10"/>
          <w:sz w:val="22"/>
          <w:szCs w:val="22"/>
        </w:rPr>
        <w:t xml:space="preserve">Any team member may propose a change to the playbook.</w:t>
      </w:r>
    </w:p>
    <w:p>
      <w:pPr>
        <w:pStyle w:val="ListParagraph"/>
        <w:numPr>
          <w:ilvl w:val="0"/>
          <w:numId w:val="2"/>
        </w:numPr>
        <w:spacing w:after="40" w:before="40" w:line="320"/>
      </w:pPr>
      <w:r>
        <w:rPr>
          <w:rFonts w:ascii="Arial" w:cs="Arial" w:eastAsia="Arial" w:hAnsi="Arial"/>
          <w:color w:val="0C0D10"/>
          <w:sz w:val="22"/>
          <w:szCs w:val="22"/>
        </w:rPr>
        <w:t xml:space="preserve">Proposals are written: title, rationale, affected chapters, proposed text or table change, impact assessment on existing chapters and metrics.</w:t>
      </w:r>
    </w:p>
    <w:p>
      <w:pPr>
        <w:pStyle w:val="ListParagraph"/>
        <w:numPr>
          <w:ilvl w:val="0"/>
          <w:numId w:val="2"/>
        </w:numPr>
        <w:spacing w:after="40" w:before="40" w:line="320"/>
      </w:pPr>
      <w:r>
        <w:rPr>
          <w:rFonts w:ascii="Arial" w:cs="Arial" w:eastAsia="Arial" w:hAnsi="Arial"/>
          <w:color w:val="0C0D10"/>
          <w:sz w:val="22"/>
          <w:szCs w:val="22"/>
        </w:rPr>
        <w:t xml:space="preserve">Worked examples are required — at least one positive and one negative.</w:t>
      </w:r>
    </w:p>
    <w:p>
      <w:pPr>
        <w:pStyle w:val="Heading2"/>
        <w:spacing w:after="80" w:before="280"/>
      </w:pPr>
      <w:r>
        <w:rPr>
          <w:rFonts w:ascii="Arial" w:cs="Arial" w:eastAsia="Arial" w:hAnsi="Arial"/>
          <w:b/>
          <w:bCs/>
          <w:color w:val="0C0D10"/>
          <w:sz w:val="26"/>
          <w:szCs w:val="26"/>
        </w:rPr>
        <w:t xml:space="preserve">13.2  Cross-functional review</w:t>
      </w:r>
    </w:p>
    <w:p>
      <w:pPr>
        <w:spacing w:after="120" w:before="0" w:line="320"/>
        <w:jc w:val="left"/>
      </w:pPr>
      <w:r>
        <w:rPr>
          <w:rFonts w:ascii="Arial" w:cs="Arial" w:eastAsia="Arial" w:hAnsi="Arial"/>
          <w:b w:val="false"/>
          <w:bCs w:val="false"/>
          <w:i w:val="false"/>
          <w:iCs w:val="false"/>
          <w:color w:val="0C0D10"/>
          <w:sz w:val="22"/>
          <w:szCs w:val="22"/>
        </w:rPr>
        <w:t xml:space="preserve">Reviewers from Product, Design, Engineering, AI, Content, Localisation, Compliance, Trust &amp; Safety — depending on which chapters the proposal touches. Reviews are async by default; a synchronous review is called when reviewers disagree.</w:t>
      </w:r>
    </w:p>
    <w:p>
      <w:pPr>
        <w:pStyle w:val="Heading2"/>
        <w:spacing w:after="80" w:before="280"/>
      </w:pPr>
      <w:r>
        <w:rPr>
          <w:rFonts w:ascii="Arial" w:cs="Arial" w:eastAsia="Arial" w:hAnsi="Arial"/>
          <w:b/>
          <w:bCs/>
          <w:color w:val="0C0D10"/>
          <w:sz w:val="26"/>
          <w:szCs w:val="26"/>
        </w:rPr>
        <w:t xml:space="preserve">13.3  Impact assessment</w:t>
      </w:r>
    </w:p>
    <w:p>
      <w:pPr>
        <w:pStyle w:val="ListParagraph"/>
        <w:numPr>
          <w:ilvl w:val="0"/>
          <w:numId w:val="2"/>
        </w:numPr>
        <w:spacing w:after="40" w:before="40" w:line="320"/>
      </w:pPr>
      <w:r>
        <w:rPr>
          <w:rFonts w:ascii="Arial" w:cs="Arial" w:eastAsia="Arial" w:hAnsi="Arial"/>
          <w:color w:val="0C0D10"/>
          <w:sz w:val="22"/>
          <w:szCs w:val="22"/>
        </w:rPr>
        <w:t xml:space="preserve">What chapters are affected?</w:t>
      </w:r>
    </w:p>
    <w:p>
      <w:pPr>
        <w:pStyle w:val="ListParagraph"/>
        <w:numPr>
          <w:ilvl w:val="0"/>
          <w:numId w:val="2"/>
        </w:numPr>
        <w:spacing w:after="40" w:before="40" w:line="320"/>
      </w:pPr>
      <w:r>
        <w:rPr>
          <w:rFonts w:ascii="Arial" w:cs="Arial" w:eastAsia="Arial" w:hAnsi="Arial"/>
          <w:color w:val="0C0D10"/>
          <w:sz w:val="22"/>
          <w:szCs w:val="22"/>
        </w:rPr>
        <w:t xml:space="preserve">What metrics change?</w:t>
      </w:r>
    </w:p>
    <w:p>
      <w:pPr>
        <w:pStyle w:val="ListParagraph"/>
        <w:numPr>
          <w:ilvl w:val="0"/>
          <w:numId w:val="2"/>
        </w:numPr>
        <w:spacing w:after="40" w:before="40" w:line="320"/>
      </w:pPr>
      <w:r>
        <w:rPr>
          <w:rFonts w:ascii="Arial" w:cs="Arial" w:eastAsia="Arial" w:hAnsi="Arial"/>
          <w:color w:val="0C0D10"/>
          <w:sz w:val="22"/>
          <w:szCs w:val="22"/>
        </w:rPr>
        <w:t xml:space="preserve">What machine specs (classifiers, regex, prompts) need to be updated?</w:t>
      </w:r>
    </w:p>
    <w:p>
      <w:pPr>
        <w:pStyle w:val="ListParagraph"/>
        <w:numPr>
          <w:ilvl w:val="0"/>
          <w:numId w:val="2"/>
        </w:numPr>
        <w:spacing w:after="40" w:before="40" w:line="320"/>
      </w:pPr>
      <w:r>
        <w:rPr>
          <w:rFonts w:ascii="Arial" w:cs="Arial" w:eastAsia="Arial" w:hAnsi="Arial"/>
          <w:color w:val="0C0D10"/>
          <w:sz w:val="22"/>
          <w:szCs w:val="22"/>
        </w:rPr>
        <w:t xml:space="preserve">What in-flight features or partners are affected?</w:t>
      </w:r>
    </w:p>
    <w:p>
      <w:pPr>
        <w:pStyle w:val="ListParagraph"/>
        <w:numPr>
          <w:ilvl w:val="0"/>
          <w:numId w:val="2"/>
        </w:numPr>
        <w:spacing w:after="40" w:before="40" w:line="320"/>
      </w:pPr>
      <w:r>
        <w:rPr>
          <w:rFonts w:ascii="Arial" w:cs="Arial" w:eastAsia="Arial" w:hAnsi="Arial"/>
          <w:color w:val="0C0D10"/>
          <w:sz w:val="22"/>
          <w:szCs w:val="22"/>
        </w:rPr>
        <w:t xml:space="preserve">What is the migration plan for existing flows?</w:t>
      </w:r>
    </w:p>
    <w:p>
      <w:pPr>
        <w:pStyle w:val="Heading2"/>
        <w:spacing w:after="80" w:before="280"/>
      </w:pPr>
      <w:r>
        <w:rPr>
          <w:rFonts w:ascii="Arial" w:cs="Arial" w:eastAsia="Arial" w:hAnsi="Arial"/>
          <w:b/>
          <w:bCs/>
          <w:color w:val="0C0D10"/>
          <w:sz w:val="26"/>
          <w:szCs w:val="26"/>
        </w:rPr>
        <w:t xml:space="preserve">13.4  Approval</w:t>
      </w:r>
    </w:p>
    <w:p>
      <w:pPr>
        <w:spacing w:after="120" w:before="0" w:line="320"/>
        <w:jc w:val="left"/>
      </w:pPr>
      <w:r>
        <w:rPr>
          <w:rFonts w:ascii="Arial" w:cs="Arial" w:eastAsia="Arial" w:hAnsi="Arial"/>
          <w:b w:val="false"/>
          <w:bCs w:val="false"/>
          <w:i w:val="false"/>
          <w:iCs w:val="false"/>
          <w:color w:val="0C0D10"/>
          <w:sz w:val="22"/>
          <w:szCs w:val="22"/>
        </w:rPr>
        <w:t xml:space="preserve">Chapter owner + playbook owner sign off. For changes that affect commitment authority, security, or Compliance Ledger contracts, Compliance and Legal must also sign off.</w:t>
      </w:r>
    </w:p>
    <w:p>
      <w:pPr>
        <w:pStyle w:val="Heading2"/>
        <w:spacing w:after="80" w:before="280"/>
      </w:pPr>
      <w:r>
        <w:rPr>
          <w:rFonts w:ascii="Arial" w:cs="Arial" w:eastAsia="Arial" w:hAnsi="Arial"/>
          <w:b/>
          <w:bCs/>
          <w:color w:val="0C0D10"/>
          <w:sz w:val="26"/>
          <w:szCs w:val="26"/>
        </w:rPr>
        <w:t xml:space="preserve">13.5  Communicate</w:t>
      </w:r>
    </w:p>
    <w:p>
      <w:pPr>
        <w:pStyle w:val="ListParagraph"/>
        <w:numPr>
          <w:ilvl w:val="0"/>
          <w:numId w:val="2"/>
        </w:numPr>
        <w:spacing w:after="40" w:before="40" w:line="320"/>
      </w:pPr>
      <w:r>
        <w:rPr>
          <w:rFonts w:ascii="Arial" w:cs="Arial" w:eastAsia="Arial" w:hAnsi="Arial"/>
          <w:color w:val="0C0D10"/>
          <w:sz w:val="22"/>
          <w:szCs w:val="22"/>
        </w:rPr>
        <w:t xml:space="preserve">Change is published with version bump (§15).</w:t>
      </w:r>
    </w:p>
    <w:p>
      <w:pPr>
        <w:pStyle w:val="ListParagraph"/>
        <w:numPr>
          <w:ilvl w:val="0"/>
          <w:numId w:val="2"/>
        </w:numPr>
        <w:spacing w:after="40" w:before="40" w:line="320"/>
      </w:pPr>
      <w:r>
        <w:rPr>
          <w:rFonts w:ascii="Arial" w:cs="Arial" w:eastAsia="Arial" w:hAnsi="Arial"/>
          <w:color w:val="0C0D10"/>
          <w:sz w:val="22"/>
          <w:szCs w:val="22"/>
        </w:rPr>
        <w:t xml:space="preserve">All chapter owners and downstream pods are notified.</w:t>
      </w:r>
    </w:p>
    <w:p>
      <w:pPr>
        <w:pStyle w:val="ListParagraph"/>
        <w:numPr>
          <w:ilvl w:val="0"/>
          <w:numId w:val="2"/>
        </w:numPr>
        <w:spacing w:after="40" w:before="40" w:line="320"/>
      </w:pPr>
      <w:r>
        <w:rPr>
          <w:rFonts w:ascii="Arial" w:cs="Arial" w:eastAsia="Arial" w:hAnsi="Arial"/>
          <w:color w:val="0C0D10"/>
          <w:sz w:val="22"/>
          <w:szCs w:val="22"/>
        </w:rPr>
        <w:t xml:space="preserve">Machine specs are updated in parallel.</w:t>
      </w:r>
    </w:p>
    <w:p>
      <w:pPr>
        <w:pStyle w:val="ListParagraph"/>
        <w:numPr>
          <w:ilvl w:val="0"/>
          <w:numId w:val="2"/>
        </w:numPr>
        <w:spacing w:after="40" w:before="40" w:line="320"/>
      </w:pPr>
      <w:r>
        <w:rPr>
          <w:rFonts w:ascii="Arial" w:cs="Arial" w:eastAsia="Arial" w:hAnsi="Arial"/>
          <w:color w:val="0C0D10"/>
          <w:sz w:val="22"/>
          <w:szCs w:val="22"/>
        </w:rPr>
        <w:t xml:space="preserve">QA regression suite is updated to detect new rules.</w:t>
      </w:r>
    </w:p>
    <w:p>
      <w:pPr>
        <w:pStyle w:val="Heading1"/>
        <w:spacing w:after="120" w:before="360"/>
      </w:pPr>
      <w:r>
        <w:rPr>
          <w:rFonts w:ascii="Arial" w:cs="Arial" w:eastAsia="Arial" w:hAnsi="Arial"/>
          <w:b/>
          <w:bCs/>
          <w:color w:val="0C0D10"/>
          <w:sz w:val="32"/>
          <w:szCs w:val="32"/>
        </w:rPr>
        <w:t xml:space="preserve">14.  Exception criteria</w:t>
      </w:r>
    </w:p>
    <w:p>
      <w:pPr>
        <w:spacing w:after="120" w:before="0" w:line="320"/>
        <w:jc w:val="left"/>
      </w:pPr>
      <w:r>
        <w:rPr>
          <w:rFonts w:ascii="Arial" w:cs="Arial" w:eastAsia="Arial" w:hAnsi="Arial"/>
          <w:b w:val="false"/>
          <w:bCs w:val="false"/>
          <w:i w:val="false"/>
          <w:iCs w:val="false"/>
          <w:color w:val="0C0D10"/>
          <w:sz w:val="22"/>
          <w:szCs w:val="22"/>
        </w:rPr>
        <w:t xml:space="preserve">Sometimes a rule doesn't fit. Exceptions are permitted but must be documented and time-bounded. The exception criteria:</w:t>
      </w:r>
    </w:p>
    <w:p>
      <w:pPr>
        <w:pStyle w:val="ListParagraph"/>
        <w:numPr>
          <w:ilvl w:val="0"/>
          <w:numId w:val="2"/>
        </w:numPr>
        <w:spacing w:after="40" w:before="40" w:line="320"/>
      </w:pPr>
      <w:r>
        <w:rPr>
          <w:rFonts w:ascii="Arial" w:cs="Arial" w:eastAsia="Arial" w:hAnsi="Arial"/>
          <w:color w:val="0C0D10"/>
          <w:sz w:val="22"/>
          <w:szCs w:val="22"/>
        </w:rPr>
        <w:t xml:space="preserve">Regulatory or legal requirement in direct conflict with a rule (e.g., RBI-mandated flow that doesn't fit the response anatomy).</w:t>
      </w:r>
    </w:p>
    <w:p>
      <w:pPr>
        <w:pStyle w:val="ListParagraph"/>
        <w:numPr>
          <w:ilvl w:val="0"/>
          <w:numId w:val="2"/>
        </w:numPr>
        <w:spacing w:after="40" w:before="40" w:line="320"/>
      </w:pPr>
      <w:r>
        <w:rPr>
          <w:rFonts w:ascii="Arial" w:cs="Arial" w:eastAsia="Arial" w:hAnsi="Arial"/>
          <w:color w:val="0C0D10"/>
          <w:sz w:val="22"/>
          <w:szCs w:val="22"/>
        </w:rPr>
        <w:t xml:space="preserve">Technical constraint making compliance infeasible, with documented mitigation.</w:t>
      </w:r>
    </w:p>
    <w:p>
      <w:pPr>
        <w:pStyle w:val="ListParagraph"/>
        <w:numPr>
          <w:ilvl w:val="0"/>
          <w:numId w:val="2"/>
        </w:numPr>
        <w:spacing w:after="40" w:before="40" w:line="320"/>
      </w:pPr>
      <w:r>
        <w:rPr>
          <w:rFonts w:ascii="Arial" w:cs="Arial" w:eastAsia="Arial" w:hAnsi="Arial"/>
          <w:color w:val="0C0D10"/>
          <w:sz w:val="22"/>
          <w:szCs w:val="22"/>
        </w:rPr>
        <w:t xml:space="preserve">User research evidence that the rule produces worse outcomes in a specific context.</w:t>
      </w:r>
    </w:p>
    <w:p>
      <w:pPr>
        <w:pStyle w:val="ListParagraph"/>
        <w:numPr>
          <w:ilvl w:val="0"/>
          <w:numId w:val="2"/>
        </w:numPr>
        <w:spacing w:after="40" w:before="40" w:line="320"/>
      </w:pPr>
      <w:r>
        <w:rPr>
          <w:rFonts w:ascii="Arial" w:cs="Arial" w:eastAsia="Arial" w:hAnsi="Arial"/>
          <w:color w:val="0C0D10"/>
          <w:sz w:val="22"/>
          <w:szCs w:val="22"/>
        </w:rPr>
        <w:t xml:space="preserve">Partner-specific obligation that overrides a default (rare).</w:t>
      </w:r>
    </w:p>
    <w:p>
      <w:pPr>
        <w:spacing w:after="120" w:before="120" w:line="320"/>
        <w:jc w:val="left"/>
      </w:pPr>
      <w:r>
        <w:rPr>
          <w:rFonts w:ascii="Arial" w:cs="Arial" w:eastAsia="Arial" w:hAnsi="Arial"/>
          <w:b w:val="false"/>
          <w:bCs w:val="false"/>
          <w:i w:val="false"/>
          <w:iCs w:val="false"/>
          <w:color w:val="0C0D10"/>
          <w:sz w:val="22"/>
          <w:szCs w:val="22"/>
        </w:rPr>
        <w:t xml:space="preserve">All exceptions are time-bounded (default 6 months), documented in writing, revisited quarterly, and either renewed, resolved, or terminated.</w:t>
      </w:r>
    </w:p>
    <w:p>
      <w:pPr>
        <w:pStyle w:val="Heading1"/>
        <w:spacing w:after="120" w:before="360"/>
      </w:pPr>
      <w:r>
        <w:rPr>
          <w:rFonts w:ascii="Arial" w:cs="Arial" w:eastAsia="Arial" w:hAnsi="Arial"/>
          <w:b/>
          <w:bCs/>
          <w:color w:val="0C0D10"/>
          <w:sz w:val="32"/>
          <w:szCs w:val="32"/>
        </w:rPr>
        <w:t xml:space="preserve">15.  Versioning</w:t>
      </w:r>
    </w:p>
    <w:p>
      <w:pPr>
        <w:spacing w:after="120" w:before="0" w:line="320"/>
        <w:jc w:val="left"/>
      </w:pPr>
      <w:r>
        <w:rPr>
          <w:rFonts w:ascii="Arial" w:cs="Arial" w:eastAsia="Arial" w:hAnsi="Arial"/>
          <w:b w:val="false"/>
          <w:bCs w:val="false"/>
          <w:i w:val="false"/>
          <w:iCs w:val="false"/>
          <w:color w:val="0C0D10"/>
          <w:sz w:val="22"/>
          <w:szCs w:val="22"/>
        </w:rPr>
        <w:t xml:space="preserve">Versioning is semver-style at the playbook level.</w:t>
      </w:r>
    </w:p>
    <w:p>
      <w:pPr>
        <w:pStyle w:val="ListParagraph"/>
        <w:numPr>
          <w:ilvl w:val="0"/>
          <w:numId w:val="2"/>
        </w:numPr>
        <w:spacing w:after="40" w:before="40" w:line="320"/>
      </w:pPr>
      <w:r>
        <w:rPr>
          <w:rFonts w:ascii="Arial" w:cs="Arial" w:eastAsia="Arial" w:hAnsi="Arial"/>
          <w:color w:val="0C0D10"/>
          <w:sz w:val="22"/>
          <w:szCs w:val="22"/>
        </w:rPr>
        <w:t xml:space="preserve">Major bump (V1 → V2) — structural change. New chapters, new invariants, deprecated rules. Migration notes required. Cross-team announcement.</w:t>
      </w:r>
    </w:p>
    <w:p>
      <w:pPr>
        <w:pStyle w:val="ListParagraph"/>
        <w:numPr>
          <w:ilvl w:val="0"/>
          <w:numId w:val="2"/>
        </w:numPr>
        <w:spacing w:after="40" w:before="40" w:line="320"/>
      </w:pPr>
      <w:r>
        <w:rPr>
          <w:rFonts w:ascii="Arial" w:cs="Arial" w:eastAsia="Arial" w:hAnsi="Arial"/>
          <w:color w:val="0C0D10"/>
          <w:sz w:val="22"/>
          <w:szCs w:val="22"/>
        </w:rPr>
        <w:t xml:space="preserve">Minor bump (V0.1 → V0.2) — additive change. New sub-sections, new metrics, GA additions. No deprecation of existing rules.</w:t>
      </w:r>
    </w:p>
    <w:p>
      <w:pPr>
        <w:pStyle w:val="ListParagraph"/>
        <w:numPr>
          <w:ilvl w:val="0"/>
          <w:numId w:val="2"/>
        </w:numPr>
        <w:spacing w:after="40" w:before="40" w:line="320"/>
      </w:pPr>
      <w:r>
        <w:rPr>
          <w:rFonts w:ascii="Arial" w:cs="Arial" w:eastAsia="Arial" w:hAnsi="Arial"/>
          <w:color w:val="0C0D10"/>
          <w:sz w:val="22"/>
          <w:szCs w:val="22"/>
        </w:rPr>
        <w:t xml:space="preserve">Patch bump (V0.2.1) — clarification, typo, calibration update. No rule change.</w:t>
      </w:r>
    </w:p>
    <w:p>
      <w:pPr>
        <w:pStyle w:val="ListParagraph"/>
        <w:numPr>
          <w:ilvl w:val="0"/>
          <w:numId w:val="2"/>
        </w:numPr>
        <w:spacing w:after="40" w:before="40" w:line="320"/>
      </w:pPr>
      <w:r>
        <w:rPr>
          <w:rFonts w:ascii="Arial" w:cs="Arial" w:eastAsia="Arial" w:hAnsi="Arial"/>
          <w:color w:val="0C0D10"/>
          <w:sz w:val="22"/>
          <w:szCs w:val="22"/>
        </w:rPr>
        <w:t xml:space="preserve">Every chapter carries its own version that may be bumped independently within the playbook major version.</w:t>
      </w:r>
    </w:p>
    <w:p>
      <w:pPr>
        <w:pStyle w:val="ListParagraph"/>
        <w:numPr>
          <w:ilvl w:val="0"/>
          <w:numId w:val="2"/>
        </w:numPr>
        <w:spacing w:after="40" w:before="40" w:line="320"/>
      </w:pPr>
      <w:r>
        <w:rPr>
          <w:rFonts w:ascii="Arial" w:cs="Arial" w:eastAsia="Arial" w:hAnsi="Arial"/>
          <w:color w:val="0C0D10"/>
          <w:sz w:val="22"/>
          <w:szCs w:val="22"/>
        </w:rPr>
        <w:t xml:space="preserve">Machine specs (classifiers, regex, prompts) are versioned alongside the playbook. Drift between the playbook and the machine specs is a structural defect.</w:t>
      </w:r>
    </w:p>
    <w:p>
      <w:pPr>
        <w:pStyle w:val="Heading1"/>
        <w:spacing w:after="120" w:before="360"/>
      </w:pPr>
      <w:r>
        <w:rPr>
          <w:rFonts w:ascii="Arial" w:cs="Arial" w:eastAsia="Arial" w:hAnsi="Arial"/>
          <w:b/>
          <w:bCs/>
          <w:color w:val="0C0D10"/>
          <w:sz w:val="32"/>
          <w:szCs w:val="32"/>
        </w:rPr>
        <w:t xml:space="preserve">16.  Governance cadence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4280"/>
      </w:tblGrid>
      <w:tr>
        <w:trPr>
          <w:tblHeader/>
        </w:trPr>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c>
          <w:tcPr>
            <w:tcW w:type="dxa" w:w="4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c>
          <w:tcPr>
            <w:tcW w:type="dxa" w:w="4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Attendees</w:t>
            </w:r>
          </w:p>
        </w:tc>
      </w:tr>
      <w:tr>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 release</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regression suite runs. Release blocks on any failure. Per-release dashboard snapshot captured.</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QA + AI</w:t>
            </w:r>
          </w:p>
        </w:tc>
      </w:tr>
      <w:tr>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Nightly</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Sampled production audits. Daily SLO check. Auto-paged on Section 2 invariant violation.</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Automated + on-call</w:t>
            </w:r>
          </w:p>
        </w:tc>
      </w:tr>
      <w:tr>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Cross-language parity check. Cross-surface consistency. Partner SLA health. Helpline directory check.</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QA + Partner Engineering + Trust &amp; Safety</w:t>
            </w:r>
          </w:p>
        </w:tc>
      </w:tr>
      <w:tr>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Monthly</w:t>
            </w:r>
          </w:p>
        </w:tc>
        <w:tc>
          <w:tcPr>
            <w:tcW w:type="dxa" w:w="4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MOS panel (TTS per language per content type). Metric-trend review. Exception status check.</w:t>
            </w:r>
          </w:p>
        </w:tc>
        <w:tc>
          <w:tcPr>
            <w:tcW w:type="dxa" w:w="4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 &amp; Multimodal + Product + Compliance</w:t>
            </w:r>
          </w:p>
        </w:tc>
      </w:tr>
      <w:tr>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w:t>
            </w:r>
          </w:p>
        </w:tc>
        <w:tc>
          <w:tcPr>
            <w:tcW w:type="dxa" w:w="4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Blind-attribution + principle-weighted critique calibration. Helpline directory comprehensive review. Allowed-emoji vocabulary review. Bharat tier-2 / tier-3 usability panel. Exception revisit. Playbook version review.</w:t>
            </w:r>
          </w:p>
        </w:tc>
        <w:tc>
          <w:tcPr>
            <w:tcW w:type="dxa" w:w="4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All chapter owners + Trust &amp; Safety + Compliance + Legal</w:t>
            </w:r>
          </w:p>
        </w:tc>
      </w:tr>
    </w:tbl>
    <w:p>
      <w:pPr>
        <w:pStyle w:val="Heading1"/>
        <w:spacing w:after="120" w:before="360"/>
      </w:pPr>
      <w:r>
        <w:rPr>
          <w:rFonts w:ascii="Arial" w:cs="Arial" w:eastAsia="Arial" w:hAnsi="Arial"/>
          <w:b/>
          <w:bCs/>
          <w:color w:val="0C0D10"/>
          <w:sz w:val="32"/>
          <w:szCs w:val="32"/>
        </w:rPr>
        <w:t xml:space="preserve">17.  Acceptance criteria mapped to metrics</w:t>
      </w:r>
    </w:p>
    <w:p>
      <w:pPr>
        <w:spacing w:after="120" w:before="0" w:line="320"/>
        <w:jc w:val="left"/>
      </w:pPr>
      <w:r>
        <w:rPr>
          <w:rFonts w:ascii="Arial" w:cs="Arial" w:eastAsia="Arial" w:hAnsi="Arial"/>
          <w:b w:val="false"/>
          <w:bCs w:val="false"/>
          <w:i w:val="false"/>
          <w:iCs w:val="false"/>
          <w:color w:val="0C0D10"/>
          <w:sz w:val="22"/>
          <w:szCs w:val="22"/>
        </w:rPr>
        <w:t xml:space="preserve">The chapter that closes the playbook also closes the loop. The metrics below are the meta-metrics — they test whether the governance itself is working.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300"/>
        <w:gridCol w:w="2480"/>
      </w:tblGrid>
      <w:tr>
        <w:trPr>
          <w:tblHeader/>
        </w:trPr>
        <w:tc>
          <w:tcPr>
            <w:tcW w:type="dxa" w:w="2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goals dashboard live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Dashboard availability + freshness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Live pre-GA; ≤ 5 min freshness</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Data &amp; Analytics</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Dashboard SLO telemetry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 tracked and broken out</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 by domain, intent shape, language, signature experience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All cuts available pre-GA</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Data &amp; Analytics / Product</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Per-cut dashboard panel</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regression suite gates every release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releases gated by suite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CI/CD pipeline audit</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Suite failure blocks release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suite-failing builds that ship</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log audit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PR-to-prod time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Median pull-request-to-production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2h</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Engineering</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Pipeline telemetry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New eval suite for any pod</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Time-to-first-eval after pod request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 days</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Per-request lead-time tracking</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 per-pod coverage published</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Per-pod eval coverage report cadence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Weekly</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Coverage-report publication audit</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Quarterly governance review held on schedule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Review-meeting occurrence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On schedule, ≥ 4× per year</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Playbook owner</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Calendar audit + decisions log</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Exception documentation complete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exceptions with full documentation</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Exception register audit</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Machine specs in sync with playbook</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Drift between playbook version and active machine specs</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unaccounted drift</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Engineering</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version audit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Metric breach response time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 from breach detection to chapter owner pageage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5 min for Section 2 invariants; ≤ 1h for metric &gt; 10% breach</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Platform / Playbook owner</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Pageage telemetry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Section 2 invariant violations in production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Invariant-violation event count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 auto-rollback on detection</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All chapter owners + Compliance</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Per-chapter invariant classifier</w:t>
            </w:r>
          </w:p>
        </w:tc>
      </w:tr>
    </w:tbl>
    <w:p>
      <w:pPr>
        <w:pStyle w:val="Heading1"/>
        <w:spacing w:after="120" w:before="360"/>
      </w:pPr>
      <w:r>
        <w:rPr>
          <w:rFonts w:ascii="Arial" w:cs="Arial" w:eastAsia="Arial" w:hAnsi="Arial"/>
          <w:b/>
          <w:bCs/>
          <w:color w:val="0C0D10"/>
          <w:sz w:val="32"/>
          <w:szCs w:val="32"/>
        </w:rPr>
        <w:t xml:space="preserve">18.  Cross-references</w:t>
      </w:r>
    </w:p>
    <w:p>
      <w:pPr>
        <w:pStyle w:val="ListParagraph"/>
        <w:numPr>
          <w:ilvl w:val="0"/>
          <w:numId w:val="2"/>
        </w:numPr>
        <w:spacing w:after="40" w:before="40" w:line="320"/>
      </w:pPr>
      <w:r>
        <w:rPr>
          <w:rFonts w:ascii="Arial" w:cs="Arial" w:eastAsia="Arial" w:hAnsi="Arial"/>
          <w:color w:val="0C0D10"/>
          <w:sz w:val="22"/>
          <w:szCs w:val="22"/>
        </w:rPr>
        <w:t xml:space="preserve">Consumer Intelligence GA Operating Goals 01–10 — the canonical targets this chapter ladders to.</w:t>
      </w:r>
    </w:p>
    <w:p>
      <w:pPr>
        <w:pStyle w:val="ListParagraph"/>
        <w:numPr>
          <w:ilvl w:val="0"/>
          <w:numId w:val="2"/>
        </w:numPr>
        <w:spacing w:after="40" w:before="40" w:line="320"/>
      </w:pPr>
      <w:r>
        <w:rPr>
          <w:rFonts w:ascii="Arial" w:cs="Arial" w:eastAsia="Arial" w:hAnsi="Arial"/>
          <w:color w:val="0C0D10"/>
          <w:sz w:val="22"/>
          <w:szCs w:val="22"/>
        </w:rPr>
        <w:t xml:space="preserve">Pod Objectives (GA) and Pod Plans (GA) — the org-level commitments by pod.</w:t>
      </w:r>
    </w:p>
    <w:p>
      <w:pPr>
        <w:pStyle w:val="ListParagraph"/>
        <w:numPr>
          <w:ilvl w:val="0"/>
          <w:numId w:val="2"/>
        </w:numPr>
        <w:spacing w:after="40" w:before="40" w:line="320"/>
      </w:pPr>
      <w:r>
        <w:rPr>
          <w:rFonts w:ascii="Arial" w:cs="Arial" w:eastAsia="Arial" w:hAnsi="Arial"/>
          <w:color w:val="0C0D10"/>
          <w:sz w:val="22"/>
          <w:szCs w:val="22"/>
        </w:rPr>
        <w:t xml:space="preserve">Strategy Delta (Appendix E) — the pre-GA → GA shift this chapter codifies.</w:t>
      </w:r>
    </w:p>
    <w:p>
      <w:pPr>
        <w:pStyle w:val="ListParagraph"/>
        <w:numPr>
          <w:ilvl w:val="0"/>
          <w:numId w:val="2"/>
        </w:numPr>
        <w:spacing w:after="40" w:before="40" w:line="320"/>
      </w:pPr>
      <w:r>
        <w:rPr>
          <w:rFonts w:ascii="Arial" w:cs="Arial" w:eastAsia="Arial" w:hAnsi="Arial"/>
          <w:color w:val="0C0D10"/>
          <w:sz w:val="22"/>
          <w:szCs w:val="22"/>
        </w:rPr>
        <w:t xml:space="preserve">Ch. 1 through Ch. 13 — every chapter's acceptance criteria flow into this chapter's dashboard.</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14. End of the playbook. The DEC north star, the QA regression suite, the change process, the quarterly review — together they turn the playbook from a document into a living instrument. Every chapter ladders here. The bar is high; the cadence is honest; the playbook is alive only because someone is measuring it.</w:t>
      </w:r>
    </w:p>
    <w:p>
      <w:pPr>
        <w:spacing w:after="120" w:before="0" w:line="320"/>
        <w:jc w:val="left"/>
      </w:pPr>
      <w:r>
        <w:rPr>
          <w:rFonts w:ascii="Arial" w:cs="Arial" w:eastAsia="Arial" w:hAnsi="Arial"/>
          <w:b w:val="false"/>
          <w:bCs w:val="false"/>
          <w:i w:val="false"/>
          <w:iCs w:val="false"/>
          <w:color w:val="0C0D10"/>
          <w:sz w:val="22"/>
          <w:szCs w:val="22"/>
        </w:rPr>
        <w:t xml:space="preserve"/>
      </w:r>
    </w:p>
    <w:p>
      <w:pPr>
        <w:spacing w:after="120" w:before="80" w:line="320"/>
        <w:jc w:val="left"/>
      </w:pPr>
      <w:r>
        <w:rPr>
          <w:rFonts w:ascii="Arial" w:cs="Arial" w:eastAsia="Arial" w:hAnsi="Arial"/>
          <w:b w:val="false"/>
          <w:bCs w:val="false"/>
          <w:i/>
          <w:iCs/>
          <w:color w:val="6D17CE"/>
          <w:sz w:val="22"/>
          <w:szCs w:val="22"/>
        </w:rPr>
        <w:t xml:space="preserve">JBIQ is India's daily AI Saathi. Voice-first, multilingual, default-on. The playbook is the substrate that makes that promise real — across every domain, in every production language, on every surface, every day.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14 — Measurement, QA &amp; governance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2026-05-19T13:05:24.398Z</dcterms:created>
  <dcterms:modified xsi:type="dcterms:W3CDTF">2026-05-19T13:05:24.398Z</dcterms:modified>
</cp:coreProperties>
</file>

<file path=docProps/custom.xml><?xml version="1.0" encoding="utf-8"?>
<Properties xmlns="http://schemas.openxmlformats.org/officeDocument/2006/custom-properties" xmlns:vt="http://schemas.openxmlformats.org/officeDocument/2006/docPropsVTypes"/>
</file>