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D17CE"/>
          <w:sz w:val="56"/>
          <w:szCs w:val="56"/>
        </w:rPr>
        <w:t xml:space="preserve">JBIQ</w:t>
      </w:r>
    </w:p>
    <w:p>
      <w:pPr>
        <w:spacing w:after="320"/>
      </w:pPr>
      <w:r>
        <w:rPr>
          <w:rFonts w:ascii="Arial" w:cs="Arial" w:eastAsia="Arial" w:hAnsi="Arial"/>
          <w:b/>
          <w:bCs/>
          <w:color w:val="310064"/>
          <w:spacing w:val="60"/>
          <w:sz w:val="18"/>
          <w:szCs w:val="18"/>
        </w:rPr>
        <w:t xml:space="preserve">JIOBHARATIQ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17CE"/>
          <w:spacing w:val="30"/>
          <w:sz w:val="18"/>
          <w:szCs w:val="18"/>
        </w:rPr>
        <w:t xml:space="preserve">Voice Playbook · Chapter 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C0D10"/>
          <w:sz w:val="44"/>
          <w:szCs w:val="44"/>
        </w:rPr>
        <w:t xml:space="preserve">Response shapes &amp; anatomy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55585E"/>
          <w:sz w:val="26"/>
          <w:szCs w:val="26"/>
        </w:rPr>
        <w:t xml:space="preserve">Five intent shapes, four anatomy slots, and the rules that govern every JBIQ reply at structural level.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Version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V0.2 (GA-aligned)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Normative draft · For review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Product, Design, Engineering, Voice, Content, AI Systems, QA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Owner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Matt Jarvis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Supersedes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Response Pattern Model §4–§14, §17 (rolled in)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10064"/>
                <w:sz w:val="20"/>
                <w:szCs w:val="20"/>
              </w:rPr>
              <w:t xml:space="preserve">Aligned to</w:t>
            </w:r>
          </w:p>
        </w:tc>
        <w:tc>
          <w:tcPr>
            <w:tcW w:type="dxa" w:w="76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C0D10"/>
                <w:sz w:val="20"/>
                <w:szCs w:val="20"/>
              </w:rPr>
              <w:t xml:space="preserve">Consumer Intelligence GA Operating Goals (May 2026)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0.  Purpose &amp; Authority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This chapter governs the structural shape of every JBIQ reply. It defines the five canonical intent shapes every user utterance maps to, the four-slot anatomy that renders each shape, and the rules — clarification, confidence, autonomy, prohibited patterns — that adjust the anatomy to context. Chapter 3 (Reply rhythm) is the temporal shape of a reply; this chapter is the spatial shape.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It exists to: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Replace ad-hoc UI decisions with a small, fixed taxonomy of intent shapes and slots.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Eliminate form-first responses, filler openers, and follow-up questions as refinement.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Codify chip-based refinement as the default and clarifications as the exception.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Define the confidence × intent-shape matrix and the autonomy × response mapping.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Provide a list of prohibited patterns that QA detects automatically.</w:t>
      </w:r>
    </w:p>
    <w:p>
      <w:pPr>
        <w:spacing w:after="120" w:before="12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This chapter is normative. Any response — human-designed or AI-generated — that violates the five intent shapes, the four-slot anatomy, or the prohibited-pattern table must be flagged and corrected before ship.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1.  Scope &amp; Non-Goals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1.1  In scope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five intent shapes and their classification rules.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four-slot anatomy (Context Line, Primary Result, Refinement Layer, Edge Affordance).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patterns by intent shape.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Clarification rules — when permitted, how shaped.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Confidence × intent shape matrix.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Autonomy × response mapping.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Prohibited response patterns.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1.2  Out of scope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Reply rhythm — the four-beat temporal shape (governed by Ch. 3).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Voice-specific four-beat disclosure (governed by Ch. 5).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Memory write / autonomy state semantics (governed by Ch. 7).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Commitment authority rules (governed by Ch. 8).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Partner response composition (governed by Ch. 11).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2.  Response invariants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Non-negotiable rules. Violations are structural, not stylistic, and must be flagged in review.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Every response conforms to the canonical anatomy in §5 — Context Line, Primary Result, Refinement Layer, Edge Affordance. No content sits outside these four slots.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Slot order is fixed. Slots may not be rearranged.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Slot 2 (Primary Result) is always required.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Slot 3 (Refinement Layer) is required whenever Slot 2 contains more than one valid option.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Inference is surfaced in the response, never hidden as a silent assumption that materially affects the user's decision.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Refinement is chip-shaped, never question-shaped. Follow-up questions for refinement are prohibited.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No response begins with filler (greeting, apology, narration of intent, intent echo).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No response ends with a gratuitous open prompt ("Anything else?").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language matches intent language, including mid-sentence code-switching.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No response commits the user to an irreversible action without entering COMMITMENT_REQUIRED (Ch. 8).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3.  The five intent shapes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Every user utterance maps to one of five canonical shapes. Response patterns vary by shape, not by domain. Astrology, devotion, commerce, jobs — the same five shapes govern all of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shape</w:t>
            </w:r>
          </w:p>
        </w:tc>
        <w:tc>
          <w:tcPr>
            <w:tcW w:type="dxa" w:w="3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signal</w:t>
            </w:r>
          </w:p>
        </w:tc>
        <w:tc>
          <w:tcPr>
            <w:tcW w:type="dxa" w:w="3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response family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3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User asks for information with no action implied.</w:t>
            </w:r>
          </w:p>
        </w:tc>
        <w:tc>
          <w:tcPr>
            <w:tcW w:type="dxa" w:w="3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Inline answer, optional next-best action.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Transactional — Single Path</w:t>
            </w:r>
          </w:p>
        </w:tc>
        <w:tc>
          <w:tcPr>
            <w:tcW w:type="dxa" w:w="3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User names a specific, unambiguous action with an identifiable target.</w:t>
            </w:r>
          </w:p>
        </w:tc>
        <w:tc>
          <w:tcPr>
            <w:tcW w:type="dxa" w:w="3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One prepared action card, commitment-ready, with all inferred attributes visible.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Transactional — Multi-Option</w:t>
            </w:r>
          </w:p>
        </w:tc>
        <w:tc>
          <w:tcPr>
            <w:tcW w:type="dxa" w:w="3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User expresses a goal with implicit choice among valid paths.</w:t>
            </w:r>
          </w:p>
        </w:tc>
        <w:tc>
          <w:tcPr>
            <w:tcW w:type="dxa" w:w="3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3–5 cards using inferred defaults + refinement chips.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Stateful Query</w:t>
            </w:r>
          </w:p>
        </w:tc>
        <w:tc>
          <w:tcPr>
            <w:tcW w:type="dxa" w:w="3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User asks about the current state of something they own — balance, cart, order, reservation.</w:t>
            </w:r>
          </w:p>
        </w:tc>
        <w:tc>
          <w:tcPr>
            <w:tcW w:type="dxa" w:w="3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Live state display with the relevant data point foregrounded.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Proactive-Triggered</w:t>
            </w:r>
          </w:p>
        </w:tc>
        <w:tc>
          <w:tcPr>
            <w:tcW w:type="dxa" w:w="3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System initiates based on a signal; user has not spoken.</w:t>
            </w:r>
          </w:p>
        </w:tc>
        <w:tc>
          <w:tcPr>
            <w:tcW w:type="dxa" w:w="3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The inferred intent framed as a question the user can claim.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4.  Classification rules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Five rules — applied in order — assign every utterance to a shape. The intent-shape classifier in production runs these rules first; only after they fail does it fall back to model classification.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there is no user input and the system is initiating, the shape is Proactive-Triggered.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user is asking for information and no action is implied, the shape is Informational.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user is asking about their own state, balance, status, or progress, the shape is Stateful Query.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user names a specific action with an identifiable target, the shape is Single Path.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If the user expresses a goal with implicit choice among valid options, the shape is Multi-Option.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4.1  The ambiguity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THE AMBIGUITY RULE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0C0D10"/>
                <w:sz w:val="22"/>
                <w:szCs w:val="22"/>
              </w:rPr>
              <w:t xml:space="preserve">When an intent could be classified as Single Path or Multi-Option, default to Multi-Option. A broad result set is cheaper to correct than a wrong specific action.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5.  The four-slot anatomy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Every response consists of up to four slots, rendered in fixed order.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6480"/>
      </w:tblGrid>
      <w:tr>
        <w:trPr>
          <w:tblHeader/>
        </w:trP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Presence</w:t>
            </w:r>
          </w:p>
        </w:tc>
        <w:tc>
          <w:tcPr>
            <w:tcW w:type="dxa" w:w="6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</w:t>
            </w:r>
          </w:p>
        </w:tc>
        <w:tc>
          <w:tcPr>
            <w:tcW w:type="dxa" w:w="1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0–1</w:t>
            </w:r>
          </w:p>
        </w:tc>
        <w:tc>
          <w:tcPr>
            <w:tcW w:type="dxa" w:w="6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One sentence surfacing inferred signal.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Primary Result</w:t>
            </w:r>
          </w:p>
        </w:tc>
        <w:tc>
          <w:tcPr>
            <w:tcW w:type="dxa" w:w="1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Required</w:t>
            </w:r>
          </w:p>
        </w:tc>
        <w:tc>
          <w:tcPr>
            <w:tcW w:type="dxa" w:w="6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The substantive response (answer, cards, preview, state).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Refinement Layer</w:t>
            </w:r>
          </w:p>
        </w:tc>
        <w:tc>
          <w:tcPr>
            <w:tcW w:type="dxa" w:w="1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Conditional</w:t>
            </w:r>
          </w:p>
        </w:tc>
        <w:tc>
          <w:tcPr>
            <w:tcW w:type="dxa" w:w="6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Chip-based refinement when multiple options exist.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Edge Affordance</w:t>
            </w:r>
          </w:p>
        </w:tc>
        <w:tc>
          <w:tcPr>
            <w:tcW w:type="dxa" w:w="1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Optional</w:t>
            </w:r>
          </w:p>
        </w:tc>
        <w:tc>
          <w:tcPr>
            <w:tcW w:type="dxa" w:w="64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Ancillary action (compare, see more, remind later).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5.1  The Context Line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The first impression. It earns its place by carrying signal, never by being polite. One sentence, maximum. Allowed content: festival or event timing, delivery window, inferred constraint, memory acknowledgement, price range, autonomy hint. Forbidden content: apology, narration, question, greeting, intent echo.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CEA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A2F40"/>
                <w:spacing w:val="30"/>
                <w:sz w:val="18"/>
                <w:szCs w:val="18"/>
              </w:rPr>
              <w:t xml:space="preserve">DON'T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ED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"I'd love to help you with that!"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"Kurtas for Diwali — delivery before Nov 5."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"Sure! Great question!"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"Found your usual ₹299 plan."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"You want to shop for a kurta for Diwali." (intent echo)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"Adani Electricity, ₹1,243, due Nov 3."</w:t>
            </w:r>
          </w:p>
        </w:tc>
      </w:tr>
      <w:tr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"Here are some options."</w:t>
            </w:r>
          </w:p>
        </w:tc>
        <w:tc>
          <w:tcPr>
            <w:tcW w:type="dxa" w:w="504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"Morning flights to Mumbai, under ₹3,500."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5.2  Primary Result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The substantive content. Its shape is dictated by the intent shape (§6 below).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Multi-Option: 3–5 cards maximum. Never more.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Single-Path: one prepared card with commitment-ready detail.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Informational: inline answer as prose; no card unless comparison is requested.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Stateful Query: live state with the relevant value foregrounded.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Proactive-Triggered: inferred intent framed as a question the user can claim.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Every card surfaces the key inferred attributes on its face. Editable inferred values are visibly editable via chip or tap. Price is rendered in Indian number format (₹1,499, not $17.99). Time-sensitive attributes (delivery date, validity, due date) are always surfaced when applicable. A card never hides an inferred assumption that materially affects the user's decision.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5.3  Refinement Layer — chips, not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THE CHIP RULE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color w:val="0C0D10"/>
                <w:sz w:val="22"/>
                <w:szCs w:val="22"/>
              </w:rPr>
              <w:t xml:space="preserve">If a refinement can be represented as a chip, it must be a chip. Follow-up questions for refinement are prohibited.</w:t>
            </w:r>
          </w:p>
        </w:tc>
      </w:tr>
    </w:tbl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Chip requirements: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Single-tap, single-outcome.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Reversible in a single tap.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Ordered by predicted impact, highest first.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Maximum 4–7 chips visible. A "More" chip may expand additional filters.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Labels use concrete, scannable language ("Under ₹1,500", not "Budget").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Must not require text input.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Must not open a new screen before rendering the refined result.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Prohibited refinement patterns: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Follow-up question asking for a value a chip could represent ("What colour?").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Multi-step refinement flow (chip → new screen → another chip → result).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One-way filters (chips that are not reversible in one tap).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Chips that require free-text input.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Mixing chips and follow-up questions in the same response.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5.4  Edge Affordance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An optional fourth slot for actions that sit outside the primary flow. One per response, never competing visually with the primary commitment action, never used as a refinement substitute, always reversible or non-destructive.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Allowed: "See more", "Compare", "Save for later", "Something more formal?", "Remind me later". Prohibited: any second peer-weight commitment action; any irreversible action; any partner-checkout link.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6.  Response patterns by intent shape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6.1  Informational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Pure Q&amp;A. No action implied.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Optional. Use only when the answer benefits from a signal (last-updated time, source freshness).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Primary Result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Inline answer as prose. No card unless comparison is explicit.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Refinement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None.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Edge Affordance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Only if context suggests a next-best action (rainy forecast → "Call a cab?").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6.2  Transactional — Single Path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User names a specific, unambiguous action.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Required. Names the action target and the material attribute (amount, date, validity).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Primary Result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One prepared action card, commitment-ready, with all inferred attributes visible.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Refinement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Chips for editable attributes (payment method, amount variant, delivery date). No clarifying questions.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Edge Affordance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"Set reminder" or similar deferral. Never a second action.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Commitment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Explicit confirmation required. Silent execution prohibited (Ch. 8).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6.3  Transactional — Multi-Option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User expresses a goal; multiple valid paths exist.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Required when there is a contextual signal (festival, delivery window, inferred constraint).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Primary Result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3–5 cards using inferred defaults. Each card surfaces key attributes.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Refinement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Required. Chips for the highest-impact filters, ordered by predicted impact.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Edge Affordance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Optional. "See more" or a context-shift ("Something more formal?").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Commitment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Triggered on card selection. Full preview before confirm.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6.4  Stateful Query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User asks about state they own — balance, cart, order.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Optional. May carry a staleness signal if the data is not live.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Primary Result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Live state with the relevant value foregrounded.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Refinement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None typically. May offer a timeframe chip ("Last 7 days", "This month").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Edge Affordance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Actionable next step if contextually valid ("Pay now", "Track").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6.5  Proactive-Triggered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System initiates based on signal.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Required. Identifies the signal that triggered the response.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Primary Result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The inferred intent framed as a question the user can claim.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Refinement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None.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Edge Affordance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"Remind me later" or "Don't suggest again".</w:t>
            </w:r>
          </w:p>
        </w:tc>
      </w:tr>
      <w:tr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Commitment</w:t>
            </w:r>
          </w:p>
        </w:tc>
        <w:tc>
          <w:tcPr>
            <w:tcW w:type="dxa" w:w="78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Only after the user claims the intent. Silent auto-execution prohibited except at Autonomy Level 3+ with pre-consent.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7.  Clarification rules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A clarifying question is permitted, but rarely. The default is to show a broad result and allow chip-based refinement. Clarification is permitted only when all three conditions hold: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ambiguity cannot be resolved by chips.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Showing a default would produce high-consequence waste (wasted time, wrong direction, unrecoverable state).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The question has three or fewer valid answers.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7.1  Format requirements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Must be presented as chip-style options, never open text.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Maximum one clarification per turn.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Must come after at least a degraded primary result, never before.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Must use singular, concrete phrasing ("Men's or women's?" not "Please specify the gender category.").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7.2  Prohibited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Clarifying before any result is shown.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Multi-field questions ("What size, colour, and budget?").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Questions asked because confidence is low — show a broader result set instead.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Questions that could be resolved by tapping an existing chip.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Clarifying values that are already in memory with medium or high confidence.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8.  Confidence × intent shape matrix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Confidence signals come from the Conversation History Model (Ch. 7). Response shape adapts accordingly.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200"/>
        <w:gridCol w:w="3980"/>
      </w:tblGrid>
      <w:tr>
        <w:trPr>
          <w:tblHeader/>
        </w:trPr>
        <w:tc>
          <w:tcPr>
            <w:tcW w:type="dxa" w:w="19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shape</w:t>
            </w:r>
          </w:p>
        </w:tc>
        <w:tc>
          <w:tcPr>
            <w:tcW w:type="dxa" w:w="2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confidence</w:t>
            </w:r>
          </w:p>
        </w:tc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confidence</w:t>
            </w:r>
          </w:p>
        </w:tc>
        <w:tc>
          <w:tcPr>
            <w:tcW w:type="dxa" w:w="39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confidence</w:t>
            </w:r>
          </w:p>
        </w:tc>
      </w:tr>
      <w:tr>
        <w:tc>
          <w:tcPr>
            <w:tcW w:type="dxa" w:w="19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Informational</w:t>
            </w:r>
          </w:p>
        </w:tc>
        <w:tc>
          <w:tcPr>
            <w:tcW w:type="dxa" w:w="2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Silent answer</w:t>
            </w:r>
          </w:p>
        </w:tc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Answer + source hint</w:t>
            </w:r>
          </w:p>
        </w:tc>
        <w:tc>
          <w:tcPr>
            <w:tcW w:type="dxa" w:w="39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Answer + verify suggestion</w:t>
            </w:r>
          </w:p>
        </w:tc>
      </w:tr>
      <w:tr>
        <w:tc>
          <w:tcPr>
            <w:tcW w:type="dxa" w:w="19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Single Path</w:t>
            </w:r>
          </w:p>
        </w:tc>
        <w:tc>
          <w:tcPr>
            <w:tcW w:type="dxa" w:w="2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Prepared, one-tap confirm</w:t>
            </w:r>
          </w:p>
        </w:tc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Prepared, full confirm</w:t>
            </w:r>
          </w:p>
        </w:tc>
        <w:tc>
          <w:tcPr>
            <w:tcW w:type="dxa" w:w="39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Fall back to Multi-Option</w:t>
            </w:r>
          </w:p>
        </w:tc>
      </w:tr>
      <w:tr>
        <w:tc>
          <w:tcPr>
            <w:tcW w:type="dxa" w:w="19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Multi-Option</w:t>
            </w:r>
          </w:p>
        </w:tc>
        <w:tc>
          <w:tcPr>
            <w:tcW w:type="dxa" w:w="2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Top 1 prominent, alternatives below</w:t>
            </w:r>
          </w:p>
        </w:tc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3–5 equal options</w:t>
            </w:r>
          </w:p>
        </w:tc>
        <w:tc>
          <w:tcPr>
            <w:tcW w:type="dxa" w:w="39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Broad set + more chips visible</w:t>
            </w:r>
          </w:p>
        </w:tc>
      </w:tr>
      <w:tr>
        <w:tc>
          <w:tcPr>
            <w:tcW w:type="dxa" w:w="19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Stateful Query</w:t>
            </w:r>
          </w:p>
        </w:tc>
        <w:tc>
          <w:tcPr>
            <w:tcW w:type="dxa" w:w="2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Live state only</w:t>
            </w:r>
          </w:p>
        </w:tc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State + last-updated signal</w:t>
            </w:r>
          </w:p>
        </w:tc>
        <w:tc>
          <w:tcPr>
            <w:tcW w:type="dxa" w:w="39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Verify query first</w:t>
            </w:r>
          </w:p>
        </w:tc>
      </w:tr>
      <w:tr>
        <w:tc>
          <w:tcPr>
            <w:tcW w:type="dxa" w:w="19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Proactive-Triggered</w:t>
            </w:r>
          </w:p>
        </w:tc>
        <w:tc>
          <w:tcPr>
            <w:tcW w:type="dxa" w:w="20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Surface with claim prompt</w:t>
            </w:r>
          </w:p>
        </w:tc>
        <w:tc>
          <w:tcPr>
            <w:tcW w:type="dxa" w:w="22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Surface with reason context</w:t>
            </w:r>
          </w:p>
        </w:tc>
        <w:tc>
          <w:tcPr>
            <w:tcW w:type="dxa" w:w="39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Do not surface</w:t>
            </w:r>
          </w:p>
        </w:tc>
      </w:tr>
    </w:tbl>
    <w:p>
      <w:pPr>
        <w:spacing w:after="120" w:before="12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85E"/>
          <w:sz w:val="20"/>
          <w:szCs w:val="20"/>
        </w:rPr>
        <w:t xml:space="preserve">Financial actions ignore this matrix at the commitment step. Regardless of confidence, a financial commitment requires explicit confirmation and the strongest available authentication channel (Ch. 8). Confidence may only reduce pre-commitment friction, never commitment integrity.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9.  Autonomy × response mapping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Autonomy levels are defined by the Interaction Model (referenced in Ch. 7). Response behaviour adjusts as follows.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80"/>
      </w:tblGrid>
      <w:tr>
        <w:trPr>
          <w:tblHeader/>
        </w:trP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behaviour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0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Observe</w:t>
            </w:r>
          </w:p>
        </w:tc>
        <w:tc>
          <w:tcPr>
            <w:tcW w:type="dxa" w:w="8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Full summary. No pre-fill. Every attribute shown. Question rate may be higher.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Suggest</w:t>
            </w:r>
          </w:p>
        </w:tc>
        <w:tc>
          <w:tcPr>
            <w:tcW w:type="dxa" w:w="8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Pre-filled attributes with explicit confirm. All inferred values visible.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Default</w:t>
            </w:r>
          </w:p>
        </w:tc>
        <w:tc>
          <w:tcPr>
            <w:tcW w:type="dxa" w:w="8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Condensed summary with confirm. Inferred values shown but grouped.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Semi-Auto</w:t>
            </w:r>
          </w:p>
        </w:tc>
        <w:tc>
          <w:tcPr>
            <w:tcW w:type="dxa" w:w="8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Notification + undo window. Only for flows where the user has pre-consented to automation.</w:t>
            </w:r>
          </w:p>
        </w:tc>
      </w:tr>
      <w:tr>
        <w:tc>
          <w:tcPr>
            <w:tcW w:type="dxa" w:w="6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Full Auto</w:t>
            </w:r>
          </w:p>
        </w:tc>
        <w:tc>
          <w:tcPr>
            <w:tcW w:type="dxa" w:w="8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Notification only, post-execution. Restricted to mandate flows (e.g., UPI AutoPay) with legal consent.</w:t>
            </w:r>
          </w:p>
        </w:tc>
      </w:tr>
    </w:tbl>
    <w:p>
      <w:pPr>
        <w:spacing w:after="120" w:before="12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85E"/>
          <w:sz w:val="20"/>
          <w:szCs w:val="20"/>
        </w:rPr>
        <w:t xml:space="preserve">Autonomy reduces what must be shown, never what must be confirmed for an irreversible action. A Level 3 response still respects COMMITMENT_REQUIRED for any irreversible step that was not pre-authorised.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10.  Prohibited response patterns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Each pattern below is structurally banned. QA detects these on every release — regex for the simpler ones, classifier for the shape-level ones.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Prohibited pattern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violates the model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Form-first response — multiple input fields before any result is shown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Asks the user to do JBIQ's work. Shows nothing until everything is given.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Filler opener — "I'd love to help", "Sure!", "Great question!"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Wastes the first sentence. Context Line earns its place by signal.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Narration opener — "Let me find some kurtas for you"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Narrates intent instead of showing result.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Intent echo — "You want to shop for a kurta for Diwali"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Restates the user's input back at them.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Question before result — clarifying with no result shown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§7 clarification rules.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Multi-field question — "What size, colour, and budget?"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single-question rule.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Follow-up question as refinement — "What colour would you like?"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the chip rule. If chips can carry it, chips must carry it.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Silent commitment — irreversible action without COMMITMENT_REQUIRED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Ch. 8 invariants.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Language mismatch — English to a Hinglish or vernacular intent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Ch. 6 §6.2 language match rule.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Enthusiasm inflation — "Amazing deals!", "Best kurtas for you!", emoji-heavy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Off-brand. Violates Ch. 1 tone rules.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Closing question — "Anything else I can help with?"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Drags the conversation. Violates Ch. 3 §7.2.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More than 5 primary cards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Exceeds the cognitive budget of a single response.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Irreversible chip — a chip that cannot be un-tapped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the chip rule in §5.3.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Multi-step refinement — chip → new screen → another chip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the single-tap rule.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 without signal — first line has no inferred information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Wastes the Context Line slot.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Multiple context lines — more than one sentence before Primary Result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Slot rule violation.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Hidden assumption — inferring a material attribute without surfacing it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Violates inference-surfacing invariant.</w:t>
            </w:r>
          </w:p>
        </w:tc>
      </w:tr>
      <w:tr>
        <w:tc>
          <w:tcPr>
            <w:tcW w:type="dxa" w:w="35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Performative memory — "I remember you love cotton!"</w:t>
            </w:r>
          </w:p>
        </w:tc>
        <w:tc>
          <w:tcPr>
            <w:tcW w:type="dxa" w:w="6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Reference to memory without purpose.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11.  Worked examples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One canonical example per intent shape, plus a Hinglish variant and a low-confidence variant. These are the positive samples for the prompt-engineering and QA classifier baselines.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11.1  Multi-Option Transactional — English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Intent: "Shop for a kurta for Diwali."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RENDERED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Kurtas for Diwali — delivery before Nov 5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Fabindia Men's Cotton Kurta · M · Cream · ₹1,499 · Arrives Nov 2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Manyavar Festive Silk Kurta · M · Maroon · ₹2,899 · Arrives Nov 3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Biba Women's Anarkali · M · Gold · ₹1,799 · Arrives Nov 3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Ethnix Embroidered · M · Navy · ₹2,199 · Arrives Nov 2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Filters: [Under ₹1,500] [Men] [Women] [Silk] [Cotton] [More]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See more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11.2  Multi-Option Transactional — Hinglish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Intent: "Diwali ke liye kurta dhundo."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RENDERED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Diwali ke liye kurtas — Nov 5 se pehle delivery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Fabindia Cotton Kurta · M · Cream · ₹1,499 · Nov 2 tak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Manyavar Silk Kurta · M · Maroon · ₹2,899 · Nov 3 tak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Biba Anarkali · M · Gold · ₹1,799 · Nov 3 tak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Filters: [₹1,500 se kam] [Men] [Women] [Silk] [Cotton] [More]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11.3  Single-Path Transactional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Intent: "Pay electricity bill."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RENDERED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Adani Electricity · ₹1,243 · due Nov 3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Bill preview — Account ****8821 (Bandra West) · Amount ₹1,243 · Due Nov 3, 2026 · Pay via GPay (UPI) [change]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[Pay ₹1,243]   Set reminder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11.4  Informational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Intent: "Kal ka mausam?"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RENDERED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Kal Mumbai mein 31°C, halki baarish shaam ko.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Cab book karein?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i/>
                <w:iCs/>
                <w:color w:val="0C0D10"/>
                <w:sz w:val="22"/>
                <w:szCs w:val="22"/>
              </w:rPr>
              <w:t xml:space="preserve">The cab-book offer is an edge affordance, permitted because rain implies a plausible next action. It is not a clarification.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11.5  Stateful Query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Intent: "Mera balance kya hai?"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RENDERED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HDFC Savings · ****4412 — ₹47,289.50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updated just now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Transactions dekhein →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11.6  Proactive-Triggered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Trigger: electricity bill due tomorrow; user has not spoken. Autonomy Level 1 (Suggest).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RENDERED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Your Adani Electricity bill is due tomorrow — ₹1,243.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Pay now?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[Pay ₹1,243]   Remind me tomorrow   Don't suggest again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C0D10"/>
          <w:sz w:val="26"/>
          <w:szCs w:val="26"/>
        </w:rPr>
        <w:t xml:space="preserve">11.7  Low-confidence Multi-Option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Intent: "Shop for a kurta for Diwali." First-time user, no memory.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6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17CE"/>
                <w:spacing w:val="30"/>
                <w:sz w:val="18"/>
                <w:szCs w:val="18"/>
              </w:rPr>
              <w:t xml:space="preserve">RENDERED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Kurtas for Diwali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Men's or women's?  [Men]  [Women]  [Show both]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Fabindia Men's Cotton Kurta · Cream · ₹1,499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Biba Women's Anarkali · Gold · ₹1,799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Manyavar Festive Silk Kurta · Maroon · ₹2,899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[Card] W Embroidered Kurta · Teal · ₹1,299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0C0D10"/>
                <w:sz w:val="22"/>
                <w:szCs w:val="22"/>
              </w:rPr>
              <w:t xml:space="preserve">Filters: [Under ₹1,500] [Under ₹3,000] [Silk] [Cotton] [More]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i/>
                <w:iCs/>
                <w:color w:val="0C0D10"/>
                <w:sz w:val="22"/>
                <w:szCs w:val="22"/>
              </w:rPr>
              <w:t xml:space="preserve">The single clarification chip ("Men's or women's?") is permitted because gender is high-impact and cannot be inferred. Results still render — the clarification does not block them.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12.  Acceptance criteria mapped to metrics</w:t>
      </w:r>
    </w:p>
    <w:p>
      <w:pPr>
        <w:spacing w:after="16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C0D10"/>
          <w:sz w:val="22"/>
          <w:szCs w:val="22"/>
        </w:rPr>
        <w:t xml:space="preserve">Each criterion ladders to instrumented metrics aligned with GA Operating Goals.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300"/>
        <w:gridCol w:w="1400"/>
        <w:gridCol w:w="2580"/>
      </w:tblGrid>
      <w:tr>
        <w:trPr>
          <w:tblHeader/>
        </w:trP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6D17C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Instrumentation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Intent shape classification accuracy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Shape classifier on labelled test set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95%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AI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Held-out classification test + nightly production sample audit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 Line carries signal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Context-line signal rate (% with inferred signal, not filler)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95%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Content / AI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Classifier trained on signal vs filler; nightly run on sampled replies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Chip-based refinement (vs follow-up questions)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Chip-refinement rate / total refinements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90%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Product / AI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Refinement-pattern classifier on Multi-Option intents; nightly sample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Clarification rate — Multi-Option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Clarifications per Multi-Option intent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&lt; 20%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AI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Intent-class filter × clarification-detection classifier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Clarification rate — Single-Path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Clarifications per Single-Path intent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&lt; 10%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AI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Same intersection above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First-card tap rate (top 3 cards)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Card-tap distribution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70% on top 3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Product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Tap-event aggregation per intent shape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Prohibited pattern detection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Pattern hit rate per 10k sampled replies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0 in production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QA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Regex + classifier suite (§10 table) on every release + nightly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Response language match rate (GA Op. Goal 06)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Language-match classifier on sampled replies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95%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Localisation / AI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Synthetic intent set in every production language; weekly comparison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Primary result latency (GA reliability)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p90 primary-result render time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&lt; 5s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Engineering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Distributed trace × intent shape; per-release dashboard</w:t>
            </w:r>
          </w:p>
        </w:tc>
      </w:tr>
      <w:tr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No domain below 70% satisfaction (GA Op. Goal 05)</w:t>
            </w:r>
          </w:p>
        </w:tc>
        <w:tc>
          <w:tcPr>
            <w:tcW w:type="dxa" w:w="2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Per-domain CSAT × intent shape</w:t>
            </w:r>
          </w:p>
        </w:tc>
        <w:tc>
          <w:tcPr>
            <w:tcW w:type="dxa" w:w="13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≥ 70% per domain · ≥ 80% overall</w:t>
            </w:r>
          </w:p>
        </w:tc>
        <w:tc>
          <w:tcPr>
            <w:tcW w:type="dxa" w:w="140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Product / Quality</w:t>
            </w:r>
          </w:p>
        </w:tc>
        <w:tc>
          <w:tcPr>
            <w:tcW w:type="dxa" w:w="2580"/>
            <w:tcBorders>
              <w:top w:val="single" w:color="DCDCDD" w:sz="4"/>
              <w:left w:val="single" w:color="DCDCDD" w:sz="4"/>
              <w:bottom w:val="single" w:color="DCDCDD" w:sz="4"/>
              <w:right w:val="single" w:color="DCDC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0C0D10"/>
                <w:sz w:val="22"/>
                <w:szCs w:val="22"/>
              </w:rPr>
              <w:t xml:space="preserve">Post-session CSAT × domain × intent-shape filter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C0D10"/>
          <w:sz w:val="32"/>
          <w:szCs w:val="32"/>
        </w:rPr>
        <w:t xml:space="preserve">13.  Cross-references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Response Pattern Model §4–§14, §17 — superseded by this chapter (rolled in and GA-aligned).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Consumer Intelligence GA — Operating Goals (May 2026) — the metrics this chapter's §12 ladders to.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 — Identity &amp; voice DNA.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2 — Ten conversation principles (especially §4 We connect, §6 Always simple — the principles that shape Context Line and Refinement).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3 — Reply rhythm (the temporal counterpart of this chapter's spatial structure).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5 — Voice disclosure (how the anatomy collapses for voice-only surfaces).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7 — Memory, confidence &amp; autonomy (the signals this chapter's §8–§9 matrices consume).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8 — Commitment &amp; security (the gate this chapter's §6 patterns route into).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10 — Multi-modal handoff (voice + UI anatomy contract).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11 — Partner ecosystem (how partner-fulfilled responses fit the four-slot anatomy).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13 — What JBIQ never does (the prohibited patterns table extracted to a quick-reference).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0C0D10"/>
          <w:sz w:val="22"/>
          <w:szCs w:val="22"/>
        </w:rPr>
        <w:t xml:space="preserve">Ch. 14 — Measurement, QA &amp; governance.</w:t>
      </w:r>
    </w:p>
    <w:p>
      <w:pPr>
        <w:pBdr>
          <w:bottom w:val="single" w:color="DCDCDD" w:sz="6" w:space="1"/>
        </w:pBdr>
        <w:spacing w:after="160" w:before="60"/>
      </w:pPr>
      <w:r>
        <w:t xml:space="preserve"/>
      </w:r>
    </w:p>
    <w:p>
      <w:pPr>
        <w:spacing w:after="120" w:before="16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85E"/>
          <w:sz w:val="20"/>
          <w:szCs w:val="20"/>
        </w:rPr>
        <w:t xml:space="preserve">End of Chapter 4. Five intent shapes. Four anatomy slots. Chips not questions. The patterns hold across every vertical, every language, every surface — and the prohibited-pattern table is the regression suite that protects them.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85E"/>
        <w:sz w:val="16"/>
        <w:szCs w:val="16"/>
      </w:rPr>
      <w:t xml:space="preserve">Page </w:t>
    </w:r>
    <w:r>
      <w:rPr>
        <w:rFonts w:ascii="Arial" w:cs="Arial" w:eastAsia="Arial" w:hAnsi="Arial"/>
        <w:color w:val="55585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85E"/>
        <w:sz w:val="16"/>
        <w:szCs w:val="16"/>
      </w:rPr>
      <w:t xml:space="preserve"> / </w:t>
    </w:r>
    <w:r>
      <w:rPr>
        <w:rFonts w:ascii="Arial" w:cs="Arial" w:eastAsia="Arial" w:hAnsi="Arial"/>
        <w:color w:val="55585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color w:val="55585E"/>
        <w:spacing w:val="30"/>
        <w:sz w:val="16"/>
        <w:szCs w:val="16"/>
      </w:rPr>
      <w:t xml:space="preserve">JBIQ  ·  Voice Playbook  ·  Ch. 4 — Response shapes &amp; anatomy  · 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C0D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C0D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C0D1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D17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2026-05-19T10:20:05.964Z</dcterms:created>
  <dcterms:modified xsi:type="dcterms:W3CDTF">2026-05-19T10:20:05.964Z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