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8</w:t>
      </w:r>
    </w:p>
    <w:p>
      <w:pPr>
        <w:spacing w:after="120"/>
      </w:pPr>
      <w:r>
        <w:rPr>
          <w:rFonts w:ascii="Arial" w:cs="Arial" w:eastAsia="Arial" w:hAnsi="Arial"/>
          <w:b/>
          <w:bCs/>
          <w:color w:val="0C0D10"/>
          <w:sz w:val="44"/>
          <w:szCs w:val="44"/>
        </w:rPr>
        <w:t xml:space="preserve">Commitment &amp; security</w:t>
      </w:r>
    </w:p>
    <w:p>
      <w:pPr>
        <w:spacing w:after="360"/>
      </w:pPr>
      <w:r>
        <w:rPr>
          <w:rFonts w:ascii="Arial" w:cs="Arial" w:eastAsia="Arial" w:hAnsi="Arial"/>
          <w:i/>
          <w:iCs/>
          <w:color w:val="55585E"/>
          <w:sz w:val="26"/>
          <w:szCs w:val="26"/>
        </w:rPr>
        <w:t xml:space="preserve">How JBIQ handles commitment — soft vs hard, financial vs functional — and the security contract that protects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AI Systems, QA, Compliance, Legal</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Subordinates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Integrated Modal Experience Model · DPDP Act · RBI Voice Payment Guidelines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 Compliance commitments</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governs commitment in JBIQ. It defines what counts as a commitment, when COMMITMENT_REQUIRED engages, what authentication is needed at each risk tier, what reversibility means, and the absolute non-negotiables around secrets and consent. It is the chapter compliance reads first.</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Stop irreversible actions from happening without explicit, language-clear confirmation.</w:t>
      </w:r>
    </w:p>
    <w:p>
      <w:pPr>
        <w:pStyle w:val="ListParagraph"/>
        <w:numPr>
          <w:ilvl w:val="0"/>
          <w:numId w:val="2"/>
        </w:numPr>
        <w:spacing w:after="40" w:before="40" w:line="320"/>
      </w:pPr>
      <w:r>
        <w:rPr>
          <w:rFonts w:ascii="Arial" w:cs="Arial" w:eastAsia="Arial" w:hAnsi="Arial"/>
          <w:color w:val="0C0D10"/>
          <w:sz w:val="22"/>
          <w:szCs w:val="22"/>
        </w:rPr>
        <w:t xml:space="preserve">Make security feel like a feature, not a tax — visible by requirement, never theatrical.</w:t>
      </w:r>
    </w:p>
    <w:p>
      <w:pPr>
        <w:pStyle w:val="ListParagraph"/>
        <w:numPr>
          <w:ilvl w:val="0"/>
          <w:numId w:val="2"/>
        </w:numPr>
        <w:spacing w:after="40" w:before="40" w:line="320"/>
      </w:pPr>
      <w:r>
        <w:rPr>
          <w:rFonts w:ascii="Arial" w:cs="Arial" w:eastAsia="Arial" w:hAnsi="Arial"/>
          <w:color w:val="0C0D10"/>
          <w:sz w:val="22"/>
          <w:szCs w:val="22"/>
        </w:rPr>
        <w:t xml:space="preserve">Codify what JBIQ never asks for, stores, or repeats — OTP, PIN, full card, Aadhaar, CVV.</w:t>
      </w:r>
    </w:p>
    <w:p>
      <w:pPr>
        <w:pStyle w:val="ListParagraph"/>
        <w:numPr>
          <w:ilvl w:val="0"/>
          <w:numId w:val="2"/>
        </w:numPr>
        <w:spacing w:after="40" w:before="40" w:line="320"/>
      </w:pPr>
      <w:r>
        <w:rPr>
          <w:rFonts w:ascii="Arial" w:cs="Arial" w:eastAsia="Arial" w:hAnsi="Arial"/>
          <w:color w:val="0C0D10"/>
          <w:sz w:val="22"/>
          <w:szCs w:val="22"/>
        </w:rPr>
        <w:t xml:space="preserve">Map RBI-relevant flows (UPI AutoPay, mandates, voice payment) to the right friction.</w:t>
      </w:r>
    </w:p>
    <w:p>
      <w:pPr>
        <w:pStyle w:val="ListParagraph"/>
        <w:numPr>
          <w:ilvl w:val="0"/>
          <w:numId w:val="2"/>
        </w:numPr>
        <w:spacing w:after="40" w:before="40" w:line="320"/>
      </w:pPr>
      <w:r>
        <w:rPr>
          <w:rFonts w:ascii="Arial" w:cs="Arial" w:eastAsia="Arial" w:hAnsi="Arial"/>
          <w:color w:val="0C0D10"/>
          <w:sz w:val="22"/>
          <w:szCs w:val="22"/>
        </w:rPr>
        <w:t xml:space="preserve">Make every commitment traceable to the Compliance Ledger with a reasoning trace.</w:t>
      </w:r>
    </w:p>
    <w:p>
      <w:pPr>
        <w:pStyle w:val="ListParagraph"/>
        <w:numPr>
          <w:ilvl w:val="0"/>
          <w:numId w:val="2"/>
        </w:numPr>
        <w:spacing w:after="40" w:before="40" w:line="320"/>
      </w:pPr>
      <w:r>
        <w:rPr>
          <w:rFonts w:ascii="Arial" w:cs="Arial" w:eastAsia="Arial" w:hAnsi="Arial"/>
          <w:color w:val="0C0D10"/>
          <w:sz w:val="22"/>
          <w:szCs w:val="22"/>
        </w:rPr>
        <w:t xml:space="preserve">Govern confirmation in voice — never mixing commitment with disclosure.</w:t>
      </w:r>
    </w:p>
    <w:p>
      <w:pPr>
        <w:pStyle w:val="ListParagraph"/>
        <w:numPr>
          <w:ilvl w:val="0"/>
          <w:numId w:val="2"/>
        </w:numPr>
        <w:spacing w:after="40" w:before="40" w:line="320"/>
      </w:pPr>
      <w:r>
        <w:rPr>
          <w:rFonts w:ascii="Arial" w:cs="Arial" w:eastAsia="Arial" w:hAnsi="Arial"/>
          <w:color w:val="0C0D10"/>
          <w:sz w:val="22"/>
          <w:szCs w:val="22"/>
        </w:rPr>
        <w:t xml:space="preserve">Make DPDP consent a first-class UI surface (GA addition).</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response that completes an irreversible action without entering COMMITMENT_REQUIRED, asks for an OTP, stores a CVV, or pre-commits under degraded mode must be rolled back automatically and reviewed.</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Commitment levels — none, soft, hard-functional, hard-financial.</w:t>
      </w:r>
    </w:p>
    <w:p>
      <w:pPr>
        <w:pStyle w:val="ListParagraph"/>
        <w:numPr>
          <w:ilvl w:val="0"/>
          <w:numId w:val="2"/>
        </w:numPr>
        <w:spacing w:after="40" w:before="40" w:line="320"/>
      </w:pPr>
      <w:r>
        <w:rPr>
          <w:rFonts w:ascii="Arial" w:cs="Arial" w:eastAsia="Arial" w:hAnsi="Arial"/>
          <w:color w:val="0C0D10"/>
          <w:sz w:val="22"/>
          <w:szCs w:val="22"/>
        </w:rPr>
        <w:t xml:space="preserve">The COMMITMENT_REQUIRED state — what triggers it, what it must show, what it must confirm.</w:t>
      </w:r>
    </w:p>
    <w:p>
      <w:pPr>
        <w:pStyle w:val="ListParagraph"/>
        <w:numPr>
          <w:ilvl w:val="0"/>
          <w:numId w:val="2"/>
        </w:numPr>
        <w:spacing w:after="40" w:before="40" w:line="320"/>
      </w:pPr>
      <w:r>
        <w:rPr>
          <w:rFonts w:ascii="Arial" w:cs="Arial" w:eastAsia="Arial" w:hAnsi="Arial"/>
          <w:color w:val="0C0D10"/>
          <w:sz w:val="22"/>
          <w:szCs w:val="22"/>
        </w:rPr>
        <w:t xml:space="preserve">Authentication floors per risk tier — never lowered by confidence or autonomy.</w:t>
      </w:r>
    </w:p>
    <w:p>
      <w:pPr>
        <w:pStyle w:val="ListParagraph"/>
        <w:numPr>
          <w:ilvl w:val="0"/>
          <w:numId w:val="2"/>
        </w:numPr>
        <w:spacing w:after="40" w:before="40" w:line="320"/>
      </w:pPr>
      <w:r>
        <w:rPr>
          <w:rFonts w:ascii="Arial" w:cs="Arial" w:eastAsia="Arial" w:hAnsi="Arial"/>
          <w:color w:val="0C0D10"/>
          <w:sz w:val="22"/>
          <w:szCs w:val="22"/>
        </w:rPr>
        <w:t xml:space="preserve">Reversibility windows and undo semantics in conversation.</w:t>
      </w:r>
    </w:p>
    <w:p>
      <w:pPr>
        <w:pStyle w:val="ListParagraph"/>
        <w:numPr>
          <w:ilvl w:val="0"/>
          <w:numId w:val="2"/>
        </w:numPr>
        <w:spacing w:after="40" w:before="40" w:line="320"/>
      </w:pPr>
      <w:r>
        <w:rPr>
          <w:rFonts w:ascii="Arial" w:cs="Arial" w:eastAsia="Arial" w:hAnsi="Arial"/>
          <w:color w:val="0C0D10"/>
          <w:sz w:val="22"/>
          <w:szCs w:val="22"/>
        </w:rPr>
        <w:t xml:space="preserve">Secrets policy — what JBIQ never asks, stores, or repeats.</w:t>
      </w:r>
    </w:p>
    <w:p>
      <w:pPr>
        <w:pStyle w:val="ListParagraph"/>
        <w:numPr>
          <w:ilvl w:val="0"/>
          <w:numId w:val="2"/>
        </w:numPr>
        <w:spacing w:after="40" w:before="40" w:line="320"/>
      </w:pPr>
      <w:r>
        <w:rPr>
          <w:rFonts w:ascii="Arial" w:cs="Arial" w:eastAsia="Arial" w:hAnsi="Arial"/>
          <w:color w:val="0C0D10"/>
          <w:sz w:val="22"/>
          <w:szCs w:val="22"/>
        </w:rPr>
        <w:t xml:space="preserve">RBI-relevant flows — UPI AutoPay, mandates, voice-payment guardrails, caps by ticket size.</w:t>
      </w:r>
    </w:p>
    <w:p>
      <w:pPr>
        <w:pStyle w:val="ListParagraph"/>
        <w:numPr>
          <w:ilvl w:val="0"/>
          <w:numId w:val="2"/>
        </w:numPr>
        <w:spacing w:after="40" w:before="40" w:line="320"/>
      </w:pPr>
      <w:r>
        <w:rPr>
          <w:rFonts w:ascii="Arial" w:cs="Arial" w:eastAsia="Arial" w:hAnsi="Arial"/>
          <w:color w:val="0C0D10"/>
          <w:sz w:val="22"/>
          <w:szCs w:val="22"/>
        </w:rPr>
        <w:t xml:space="preserve">Provenance and the Compliance Ledger.</w:t>
      </w:r>
    </w:p>
    <w:p>
      <w:pPr>
        <w:pStyle w:val="ListParagraph"/>
        <w:numPr>
          <w:ilvl w:val="0"/>
          <w:numId w:val="2"/>
        </w:numPr>
        <w:spacing w:after="40" w:before="40" w:line="320"/>
      </w:pPr>
      <w:r>
        <w:rPr>
          <w:rFonts w:ascii="Arial" w:cs="Arial" w:eastAsia="Arial" w:hAnsi="Arial"/>
          <w:color w:val="0C0D10"/>
          <w:sz w:val="22"/>
          <w:szCs w:val="22"/>
        </w:rPr>
        <w:t xml:space="preserve">Confirmation in voice — what's a confirmation, what's a refinement pivot.</w:t>
      </w:r>
    </w:p>
    <w:p>
      <w:pPr>
        <w:pStyle w:val="ListParagraph"/>
        <w:numPr>
          <w:ilvl w:val="0"/>
          <w:numId w:val="2"/>
        </w:numPr>
        <w:spacing w:after="40" w:before="40" w:line="320"/>
      </w:pPr>
      <w:r>
        <w:rPr>
          <w:rFonts w:ascii="Arial" w:cs="Arial" w:eastAsia="Arial" w:hAnsi="Arial"/>
          <w:color w:val="0C0D10"/>
          <w:sz w:val="22"/>
          <w:szCs w:val="22"/>
        </w:rPr>
        <w:t xml:space="preserve">DPDP consent UI (GA addition).</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Identity and authentication infrastructure (JioID SDK, biometrics; governed by Identity pod).</w:t>
      </w:r>
    </w:p>
    <w:p>
      <w:pPr>
        <w:pStyle w:val="ListParagraph"/>
        <w:numPr>
          <w:ilvl w:val="0"/>
          <w:numId w:val="2"/>
        </w:numPr>
        <w:spacing w:after="40" w:before="40" w:line="320"/>
      </w:pPr>
      <w:r>
        <w:rPr>
          <w:rFonts w:ascii="Arial" w:cs="Arial" w:eastAsia="Arial" w:hAnsi="Arial"/>
          <w:color w:val="0C0D10"/>
          <w:sz w:val="22"/>
          <w:szCs w:val="22"/>
        </w:rPr>
        <w:t xml:space="preserve">Bank-side payment processing semantics (governed by partner contracts + RBI).</w:t>
      </w:r>
    </w:p>
    <w:p>
      <w:pPr>
        <w:pStyle w:val="ListParagraph"/>
        <w:numPr>
          <w:ilvl w:val="0"/>
          <w:numId w:val="2"/>
        </w:numPr>
        <w:spacing w:after="40" w:before="40" w:line="320"/>
      </w:pPr>
      <w:r>
        <w:rPr>
          <w:rFonts w:ascii="Arial" w:cs="Arial" w:eastAsia="Arial" w:hAnsi="Arial"/>
          <w:color w:val="0C0D10"/>
          <w:sz w:val="22"/>
          <w:szCs w:val="22"/>
        </w:rPr>
        <w:t xml:space="preserve">Memory store and per-domain consent gates (governed by Ch. 7 + Conversation History Model).</w:t>
      </w:r>
    </w:p>
    <w:p>
      <w:pPr>
        <w:pStyle w:val="ListParagraph"/>
        <w:numPr>
          <w:ilvl w:val="0"/>
          <w:numId w:val="2"/>
        </w:numPr>
        <w:spacing w:after="40" w:before="40" w:line="320"/>
      </w:pPr>
      <w:r>
        <w:rPr>
          <w:rFonts w:ascii="Arial" w:cs="Arial" w:eastAsia="Arial" w:hAnsi="Arial"/>
          <w:color w:val="0C0D10"/>
          <w:sz w:val="22"/>
          <w:szCs w:val="22"/>
        </w:rPr>
        <w:t xml:space="preserve">Error and refusal language patterns (governed by Ch. 9).</w:t>
      </w:r>
    </w:p>
    <w:p>
      <w:pPr>
        <w:pStyle w:val="ListParagraph"/>
        <w:numPr>
          <w:ilvl w:val="0"/>
          <w:numId w:val="2"/>
        </w:numPr>
        <w:spacing w:after="40" w:before="40" w:line="320"/>
      </w:pPr>
      <w:r>
        <w:rPr>
          <w:rFonts w:ascii="Arial" w:cs="Arial" w:eastAsia="Arial" w:hAnsi="Arial"/>
          <w:color w:val="0C0D10"/>
          <w:sz w:val="22"/>
          <w:szCs w:val="22"/>
        </w:rPr>
        <w:t xml:space="preserve">Partner commitment authority (governed by Ch. 11 — partners declare risk; JBIQ owns commitment).</w:t>
      </w:r>
    </w:p>
    <w:p>
      <w:pPr>
        <w:pStyle w:val="Heading1"/>
        <w:spacing w:after="120" w:before="360"/>
      </w:pPr>
      <w:r>
        <w:rPr>
          <w:rFonts w:ascii="Arial" w:cs="Arial" w:eastAsia="Arial" w:hAnsi="Arial"/>
          <w:b/>
          <w:bCs/>
          <w:color w:val="0C0D10"/>
          <w:sz w:val="32"/>
          <w:szCs w:val="32"/>
        </w:rPr>
        <w:t xml:space="preserve">2.  Security invariants</w:t>
      </w:r>
    </w:p>
    <w:p>
      <w:pPr>
        <w:spacing w:after="160" w:before="0" w:line="320"/>
        <w:jc w:val="left"/>
      </w:pPr>
      <w:r>
        <w:rPr>
          <w:rFonts w:ascii="Arial" w:cs="Arial" w:eastAsia="Arial" w:hAnsi="Arial"/>
          <w:b w:val="false"/>
          <w:bCs w:val="false"/>
          <w:i w:val="false"/>
          <w:iCs w:val="false"/>
          <w:color w:val="0C0D10"/>
          <w:sz w:val="22"/>
          <w:szCs w:val="22"/>
        </w:rPr>
        <w:t xml:space="preserve">Non-negotiable rules. Violations are structural and must be rolled back automatically.</w:t>
      </w:r>
    </w:p>
    <w:p>
      <w:pPr>
        <w:pStyle w:val="ListParagraph"/>
        <w:numPr>
          <w:ilvl w:val="0"/>
          <w:numId w:val="3"/>
        </w:numPr>
        <w:spacing w:after="40" w:before="40" w:line="320"/>
      </w:pPr>
      <w:r>
        <w:rPr>
          <w:rFonts w:ascii="Arial" w:cs="Arial" w:eastAsia="Arial" w:hAnsi="Arial"/>
          <w:color w:val="0C0D10"/>
          <w:sz w:val="22"/>
          <w:szCs w:val="22"/>
        </w:rPr>
        <w:t xml:space="preserve">JBIQ never asks for, stores, repeats, or logs OTPs, PINs, full card numbers, Aadhaar numbers, biometric data, or CVV values.</w:t>
      </w:r>
    </w:p>
    <w:p>
      <w:pPr>
        <w:pStyle w:val="ListParagraph"/>
        <w:numPr>
          <w:ilvl w:val="0"/>
          <w:numId w:val="3"/>
        </w:numPr>
        <w:spacing w:after="40" w:before="40" w:line="320"/>
      </w:pPr>
      <w:r>
        <w:rPr>
          <w:rFonts w:ascii="Arial" w:cs="Arial" w:eastAsia="Arial" w:hAnsi="Arial"/>
          <w:color w:val="0C0D10"/>
          <w:sz w:val="22"/>
          <w:szCs w:val="22"/>
        </w:rPr>
        <w:t xml:space="preserve">Every irreversible action requires COMMITMENT_REQUIRED — explicit confirmation, in plain language, at the strongest available authentication channel for the risk tier.</w:t>
      </w:r>
    </w:p>
    <w:p>
      <w:pPr>
        <w:pStyle w:val="ListParagraph"/>
        <w:numPr>
          <w:ilvl w:val="0"/>
          <w:numId w:val="3"/>
        </w:numPr>
        <w:spacing w:after="40" w:before="40" w:line="320"/>
      </w:pPr>
      <w:r>
        <w:rPr>
          <w:rFonts w:ascii="Arial" w:cs="Arial" w:eastAsia="Arial" w:hAnsi="Arial"/>
          <w:color w:val="0C0D10"/>
          <w:sz w:val="22"/>
          <w:szCs w:val="22"/>
        </w:rPr>
        <w:t xml:space="preserve">Autonomy never lowers the auth floor for an irreversible action. Confidence never lowers it. A high-confidence Level-3 flow still confirms commitment when the action is irreversible and not pre-authorised.</w:t>
      </w:r>
    </w:p>
    <w:p>
      <w:pPr>
        <w:pStyle w:val="ListParagraph"/>
        <w:numPr>
          <w:ilvl w:val="0"/>
          <w:numId w:val="3"/>
        </w:numPr>
        <w:spacing w:after="40" w:before="40" w:line="320"/>
      </w:pPr>
      <w:r>
        <w:rPr>
          <w:rFonts w:ascii="Arial" w:cs="Arial" w:eastAsia="Arial" w:hAnsi="Arial"/>
          <w:color w:val="0C0D10"/>
          <w:sz w:val="22"/>
          <w:szCs w:val="22"/>
        </w:rPr>
        <w:t xml:space="preserve">Commitment language ("confirm?", "proceed?", "shall I go ahead?") is permitted only at COMMITMENT_REQUIRED. It is prohibited at PARTIAL_RESULT_SHOWN (Ch. 5 §11).</w:t>
      </w:r>
    </w:p>
    <w:p>
      <w:pPr>
        <w:pStyle w:val="ListParagraph"/>
        <w:numPr>
          <w:ilvl w:val="0"/>
          <w:numId w:val="3"/>
        </w:numPr>
        <w:spacing w:after="40" w:before="40" w:line="320"/>
      </w:pPr>
      <w:r>
        <w:rPr>
          <w:rFonts w:ascii="Arial" w:cs="Arial" w:eastAsia="Arial" w:hAnsi="Arial"/>
          <w:color w:val="0C0D10"/>
          <w:sz w:val="22"/>
          <w:szCs w:val="22"/>
        </w:rPr>
        <w:t xml:space="preserve">Every commitment is written to the Compliance Ledger with a reasoning trace before the action dispatches. A failure to write blocks the action (fail-closed).</w:t>
      </w:r>
    </w:p>
    <w:p>
      <w:pPr>
        <w:pStyle w:val="ListParagraph"/>
        <w:numPr>
          <w:ilvl w:val="0"/>
          <w:numId w:val="3"/>
        </w:numPr>
        <w:spacing w:after="40" w:before="40" w:line="320"/>
      </w:pPr>
      <w:r>
        <w:rPr>
          <w:rFonts w:ascii="Arial" w:cs="Arial" w:eastAsia="Arial" w:hAnsi="Arial"/>
          <w:color w:val="0C0D10"/>
          <w:sz w:val="22"/>
          <w:szCs w:val="22"/>
        </w:rPr>
        <w:t xml:space="preserve">Reversibility windows are surfaced visibly on the commitment confirmation and again on the receipt.</w:t>
      </w:r>
    </w:p>
    <w:p>
      <w:pPr>
        <w:pStyle w:val="ListParagraph"/>
        <w:numPr>
          <w:ilvl w:val="0"/>
          <w:numId w:val="3"/>
        </w:numPr>
        <w:spacing w:after="40" w:before="40" w:line="320"/>
      </w:pPr>
      <w:r>
        <w:rPr>
          <w:rFonts w:ascii="Arial" w:cs="Arial" w:eastAsia="Arial" w:hAnsi="Arial"/>
          <w:color w:val="0C0D10"/>
          <w:sz w:val="22"/>
          <w:szCs w:val="22"/>
        </w:rPr>
        <w:t xml:space="preserve">Mandate flows (UPI AutoPay, recurring payments) require explicit legal consent — they cannot be entered conversationally.</w:t>
      </w:r>
    </w:p>
    <w:p>
      <w:pPr>
        <w:pStyle w:val="ListParagraph"/>
        <w:numPr>
          <w:ilvl w:val="0"/>
          <w:numId w:val="3"/>
        </w:numPr>
        <w:spacing w:after="40" w:before="40" w:line="320"/>
      </w:pPr>
      <w:r>
        <w:rPr>
          <w:rFonts w:ascii="Arial" w:cs="Arial" w:eastAsia="Arial" w:hAnsi="Arial"/>
          <w:color w:val="0C0D10"/>
          <w:sz w:val="22"/>
          <w:szCs w:val="22"/>
        </w:rPr>
        <w:t xml:space="preserve">When the user volunteers a secret (OTP, PIN, etc.), JBIQ politely declines, does not echo the value back, and offers the next step.</w:t>
      </w:r>
    </w:p>
    <w:p>
      <w:pPr>
        <w:pStyle w:val="ListParagraph"/>
        <w:numPr>
          <w:ilvl w:val="0"/>
          <w:numId w:val="3"/>
        </w:numPr>
        <w:spacing w:after="40" w:before="40" w:line="320"/>
      </w:pPr>
      <w:r>
        <w:rPr>
          <w:rFonts w:ascii="Arial" w:cs="Arial" w:eastAsia="Arial" w:hAnsi="Arial"/>
          <w:color w:val="0C0D10"/>
          <w:sz w:val="22"/>
          <w:szCs w:val="22"/>
        </w:rPr>
        <w:t xml:space="preserve">DPDP consent surfaces are visible by requirement, not by exception. The consent UI is part of the product, not a settings page.</w:t>
      </w:r>
    </w:p>
    <w:p>
      <w:pPr>
        <w:pStyle w:val="ListParagraph"/>
        <w:numPr>
          <w:ilvl w:val="0"/>
          <w:numId w:val="3"/>
        </w:numPr>
        <w:spacing w:after="40" w:before="40" w:line="320"/>
      </w:pPr>
      <w:r>
        <w:rPr>
          <w:rFonts w:ascii="Arial" w:cs="Arial" w:eastAsia="Arial" w:hAnsi="Arial"/>
          <w:color w:val="0C0D10"/>
          <w:sz w:val="22"/>
          <w:szCs w:val="22"/>
        </w:rPr>
        <w:t xml:space="preserve">Partner-fulfilled actions inherit this chapter. JBIQ owns commitment authority regardless of which partner fulfils the action (Ch. 11).</w:t>
      </w:r>
    </w:p>
    <w:p>
      <w:pPr>
        <w:pStyle w:val="Heading1"/>
        <w:spacing w:after="120" w:before="360"/>
      </w:pPr>
      <w:r>
        <w:rPr>
          <w:rFonts w:ascii="Arial" w:cs="Arial" w:eastAsia="Arial" w:hAnsi="Arial"/>
          <w:b/>
          <w:bCs/>
          <w:color w:val="0C0D10"/>
          <w:sz w:val="32"/>
          <w:szCs w:val="32"/>
        </w:rPr>
        <w:t xml:space="preserve">3.  Commitment levels</w:t>
      </w:r>
    </w:p>
    <w:p>
      <w:pPr>
        <w:spacing w:after="120" w:before="0" w:line="320"/>
        <w:jc w:val="left"/>
      </w:pPr>
      <w:r>
        <w:rPr>
          <w:rFonts w:ascii="Arial" w:cs="Arial" w:eastAsia="Arial" w:hAnsi="Arial"/>
          <w:b w:val="false"/>
          <w:bCs w:val="false"/>
          <w:i w:val="false"/>
          <w:iCs w:val="false"/>
          <w:color w:val="0C0D10"/>
          <w:sz w:val="22"/>
          <w:szCs w:val="22"/>
        </w:rPr>
        <w:t xml:space="preserve">Every action JBIQ can take has a commitment level. The level governs whether COMMITMENT_REQUIRED engages, what authentication is needed, and what reversibility looks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1500"/>
        <w:gridCol w:w="2680"/>
      </w:tblGrid>
      <w:tr>
        <w:trPr>
          <w:tblHeader/>
        </w:trPr>
        <w:tc>
          <w:tcPr>
            <w:tcW w:type="dxa" w:w="17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17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Authentication</w:t>
            </w:r>
          </w:p>
        </w:tc>
        <w:tc>
          <w:tcPr>
            <w:tcW w:type="dxa" w:w="1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COMMITMENT_REQUIRED?</w:t>
            </w:r>
          </w:p>
        </w:tc>
        <w:tc>
          <w:tcPr>
            <w:tcW w:type="dxa" w:w="26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None</w:t>
            </w:r>
          </w:p>
        </w:tc>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state change. Purely informational.</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None.</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w:t>
            </w:r>
          </w:p>
        </w:tc>
        <w:tc>
          <w:tcPr>
            <w:tcW w:type="dxa" w:w="2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"What's the weather?" · "Translate this." · "What does this medicine label say?"</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Soft</w:t>
            </w:r>
          </w:p>
        </w:tc>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Reversible state change with no money, no identity impact.</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None — proceed; show undo.</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 show undo window instead.</w:t>
            </w:r>
          </w:p>
        </w:tc>
        <w:tc>
          <w:tcPr>
            <w:tcW w:type="dxa" w:w="2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Set a reminder · save for later · add to wishlist · mark a card as default.</w:t>
            </w:r>
          </w:p>
        </w:tc>
      </w:tr>
      <w:tr>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Hard-functional</w:t>
            </w:r>
          </w:p>
        </w:tc>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Irreversible or hard-to-reverse change with no direct money. Identity, plan, address.</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In-app authenticated session.</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Yes — explicit confirm.</w:t>
            </w:r>
          </w:p>
        </w:tc>
        <w:tc>
          <w:tcPr>
            <w:tcW w:type="dxa" w:w="2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Switch a plan · change linked number · update billing address · revoke a partner permission.</w:t>
            </w:r>
          </w:p>
        </w:tc>
      </w:tr>
      <w:tr>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Hard-financial</w:t>
            </w:r>
          </w:p>
        </w:tc>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Money moves. Even small amounts.</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In-app authenticated confirm + UPI PIN / biometric per RBI floor.</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Yes — explicit confirm at strongest channel.</w:t>
            </w:r>
          </w:p>
        </w:tc>
        <w:tc>
          <w:tcPr>
            <w:tcW w:type="dxa" w:w="2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Bill pay · recharge · commerce checkout · mandate setup.</w:t>
            </w:r>
          </w:p>
        </w:tc>
      </w:tr>
    </w:tbl>
    <w:p>
      <w:pPr>
        <w:pStyle w:val="Heading1"/>
        <w:spacing w:after="120" w:before="360"/>
      </w:pPr>
      <w:r>
        <w:rPr>
          <w:rFonts w:ascii="Arial" w:cs="Arial" w:eastAsia="Arial" w:hAnsi="Arial"/>
          <w:b/>
          <w:bCs/>
          <w:color w:val="0C0D10"/>
          <w:sz w:val="32"/>
          <w:szCs w:val="32"/>
        </w:rPr>
        <w:t xml:space="preserve">4.  The COMMITMENT_REQUIRED state</w:t>
      </w:r>
    </w:p>
    <w:p>
      <w:pPr>
        <w:spacing w:after="120" w:before="0" w:line="320"/>
        <w:jc w:val="left"/>
      </w:pPr>
      <w:r>
        <w:rPr>
          <w:rFonts w:ascii="Arial" w:cs="Arial" w:eastAsia="Arial" w:hAnsi="Arial"/>
          <w:b w:val="false"/>
          <w:bCs w:val="false"/>
          <w:i w:val="false"/>
          <w:iCs w:val="false"/>
          <w:color w:val="0C0D10"/>
          <w:sz w:val="22"/>
          <w:szCs w:val="22"/>
        </w:rPr>
        <w:t xml:space="preserve">COMMITMENT_REQUIRED is the canonical state where an action that crosses Soft → Hard waits for the user's explicit go-ahead. It is the security floor; nothing irreversible happens before it. It has a distinct response surface.</w:t>
      </w:r>
    </w:p>
    <w:p>
      <w:pPr>
        <w:pStyle w:val="Heading2"/>
        <w:spacing w:after="80" w:before="280"/>
      </w:pPr>
      <w:r>
        <w:rPr>
          <w:rFonts w:ascii="Arial" w:cs="Arial" w:eastAsia="Arial" w:hAnsi="Arial"/>
          <w:b/>
          <w:bCs/>
          <w:color w:val="0C0D10"/>
          <w:sz w:val="26"/>
          <w:szCs w:val="26"/>
        </w:rPr>
        <w:t xml:space="preserve">4.1  What triggers COMMITMENT_REQUIRED</w:t>
      </w:r>
    </w:p>
    <w:p>
      <w:pPr>
        <w:pStyle w:val="ListParagraph"/>
        <w:numPr>
          <w:ilvl w:val="0"/>
          <w:numId w:val="2"/>
        </w:numPr>
        <w:spacing w:after="40" w:before="40" w:line="320"/>
      </w:pPr>
      <w:r>
        <w:rPr>
          <w:rFonts w:ascii="Arial" w:cs="Arial" w:eastAsia="Arial" w:hAnsi="Arial"/>
          <w:color w:val="0C0D10"/>
          <w:sz w:val="22"/>
          <w:szCs w:val="22"/>
        </w:rPr>
        <w:t xml:space="preserve">Any Hard-functional or Hard-financial action class.</w:t>
      </w:r>
    </w:p>
    <w:p>
      <w:pPr>
        <w:pStyle w:val="ListParagraph"/>
        <w:numPr>
          <w:ilvl w:val="0"/>
          <w:numId w:val="2"/>
        </w:numPr>
        <w:spacing w:after="40" w:before="40" w:line="320"/>
      </w:pPr>
      <w:r>
        <w:rPr>
          <w:rFonts w:ascii="Arial" w:cs="Arial" w:eastAsia="Arial" w:hAnsi="Arial"/>
          <w:color w:val="0C0D10"/>
          <w:sz w:val="22"/>
          <w:szCs w:val="22"/>
        </w:rPr>
        <w:t xml:space="preserve">Any partner-fulfilled action that the partner manifest has declared as hard-functional or hard-financial.</w:t>
      </w:r>
    </w:p>
    <w:p>
      <w:pPr>
        <w:pStyle w:val="ListParagraph"/>
        <w:numPr>
          <w:ilvl w:val="0"/>
          <w:numId w:val="2"/>
        </w:numPr>
        <w:spacing w:after="40" w:before="40" w:line="320"/>
      </w:pPr>
      <w:r>
        <w:rPr>
          <w:rFonts w:ascii="Arial" w:cs="Arial" w:eastAsia="Arial" w:hAnsi="Arial"/>
          <w:color w:val="0C0D10"/>
          <w:sz w:val="22"/>
          <w:szCs w:val="22"/>
        </w:rPr>
        <w:t xml:space="preserve">Any Soft action escalated by the user explicitly ("actually wait, let me confirm").</w:t>
      </w:r>
    </w:p>
    <w:p>
      <w:pPr>
        <w:pStyle w:val="ListParagraph"/>
        <w:numPr>
          <w:ilvl w:val="0"/>
          <w:numId w:val="2"/>
        </w:numPr>
        <w:spacing w:after="40" w:before="40" w:line="320"/>
      </w:pPr>
      <w:r>
        <w:rPr>
          <w:rFonts w:ascii="Arial" w:cs="Arial" w:eastAsia="Arial" w:hAnsi="Arial"/>
          <w:color w:val="0C0D10"/>
          <w:sz w:val="22"/>
          <w:szCs w:val="22"/>
        </w:rPr>
        <w:t xml:space="preserve">Any action whose reversibility window has expired and is being re-executed.</w:t>
      </w:r>
    </w:p>
    <w:p>
      <w:pPr>
        <w:pStyle w:val="Heading2"/>
        <w:spacing w:after="80" w:before="280"/>
      </w:pPr>
      <w:r>
        <w:rPr>
          <w:rFonts w:ascii="Arial" w:cs="Arial" w:eastAsia="Arial" w:hAnsi="Arial"/>
          <w:b/>
          <w:bCs/>
          <w:color w:val="0C0D10"/>
          <w:sz w:val="26"/>
          <w:szCs w:val="26"/>
        </w:rPr>
        <w:t xml:space="preserve">4.2  What COMMITMENT_REQUIRED must show</w:t>
      </w:r>
    </w:p>
    <w:p>
      <w:pPr>
        <w:pStyle w:val="ListParagraph"/>
        <w:numPr>
          <w:ilvl w:val="0"/>
          <w:numId w:val="2"/>
        </w:numPr>
        <w:spacing w:after="40" w:before="40" w:line="320"/>
      </w:pPr>
      <w:r>
        <w:rPr>
          <w:rFonts w:ascii="Arial" w:cs="Arial" w:eastAsia="Arial" w:hAnsi="Arial"/>
          <w:color w:val="0C0D10"/>
          <w:sz w:val="22"/>
          <w:szCs w:val="22"/>
        </w:rPr>
        <w:t xml:space="preserve">The exact action that will happen (plain language, no jargon).</w:t>
      </w:r>
    </w:p>
    <w:p>
      <w:pPr>
        <w:pStyle w:val="ListParagraph"/>
        <w:numPr>
          <w:ilvl w:val="0"/>
          <w:numId w:val="2"/>
        </w:numPr>
        <w:spacing w:after="40" w:before="40" w:line="320"/>
      </w:pPr>
      <w:r>
        <w:rPr>
          <w:rFonts w:ascii="Arial" w:cs="Arial" w:eastAsia="Arial" w:hAnsi="Arial"/>
          <w:color w:val="0C0D10"/>
          <w:sz w:val="22"/>
          <w:szCs w:val="22"/>
        </w:rPr>
        <w:t xml:space="preserve">The exact amount, recipient, account, and date — every material attribute.</w:t>
      </w:r>
    </w:p>
    <w:p>
      <w:pPr>
        <w:pStyle w:val="ListParagraph"/>
        <w:numPr>
          <w:ilvl w:val="0"/>
          <w:numId w:val="2"/>
        </w:numPr>
        <w:spacing w:after="40" w:before="40" w:line="320"/>
      </w:pPr>
      <w:r>
        <w:rPr>
          <w:rFonts w:ascii="Arial" w:cs="Arial" w:eastAsia="Arial" w:hAnsi="Arial"/>
          <w:color w:val="0C0D10"/>
          <w:sz w:val="22"/>
          <w:szCs w:val="22"/>
        </w:rPr>
        <w:t xml:space="preserve">The authentication channel that will be used.</w:t>
      </w:r>
    </w:p>
    <w:p>
      <w:pPr>
        <w:pStyle w:val="ListParagraph"/>
        <w:numPr>
          <w:ilvl w:val="0"/>
          <w:numId w:val="2"/>
        </w:numPr>
        <w:spacing w:after="40" w:before="40" w:line="320"/>
      </w:pPr>
      <w:r>
        <w:rPr>
          <w:rFonts w:ascii="Arial" w:cs="Arial" w:eastAsia="Arial" w:hAnsi="Arial"/>
          <w:color w:val="0C0D10"/>
          <w:sz w:val="22"/>
          <w:szCs w:val="22"/>
        </w:rPr>
        <w:t xml:space="preserve">The reversibility window or its absence.</w:t>
      </w:r>
    </w:p>
    <w:p>
      <w:pPr>
        <w:pStyle w:val="ListParagraph"/>
        <w:numPr>
          <w:ilvl w:val="0"/>
          <w:numId w:val="2"/>
        </w:numPr>
        <w:spacing w:after="40" w:before="40" w:line="320"/>
      </w:pPr>
      <w:r>
        <w:rPr>
          <w:rFonts w:ascii="Arial" w:cs="Arial" w:eastAsia="Arial" w:hAnsi="Arial"/>
          <w:color w:val="0C0D10"/>
          <w:sz w:val="22"/>
          <w:szCs w:val="22"/>
        </w:rPr>
        <w:t xml:space="preserve">Where the receipt will live (Ch. 1 §7 — the home line).</w:t>
      </w:r>
    </w:p>
    <w:p>
      <w:pPr>
        <w:pStyle w:val="Heading2"/>
        <w:spacing w:after="80" w:before="280"/>
      </w:pPr>
      <w:r>
        <w:rPr>
          <w:rFonts w:ascii="Arial" w:cs="Arial" w:eastAsia="Arial" w:hAnsi="Arial"/>
          <w:b/>
          <w:bCs/>
          <w:color w:val="0C0D10"/>
          <w:sz w:val="26"/>
          <w:szCs w:val="26"/>
        </w:rPr>
        <w:t xml:space="preserve">4.3  What COMMITMENT_REQUIRED must confirm</w:t>
      </w:r>
    </w:p>
    <w:p>
      <w:pPr>
        <w:pStyle w:val="ListParagraph"/>
        <w:numPr>
          <w:ilvl w:val="0"/>
          <w:numId w:val="2"/>
        </w:numPr>
        <w:spacing w:after="40" w:before="40" w:line="320"/>
      </w:pPr>
      <w:r>
        <w:rPr>
          <w:rFonts w:ascii="Arial" w:cs="Arial" w:eastAsia="Arial" w:hAnsi="Arial"/>
          <w:color w:val="0C0D10"/>
          <w:sz w:val="22"/>
          <w:szCs w:val="22"/>
        </w:rPr>
        <w:t xml:space="preserve">Explicit user intent — a tap on a primary confirm button, or a voice confirmation through a separate auth channel.</w:t>
      </w:r>
    </w:p>
    <w:p>
      <w:pPr>
        <w:pStyle w:val="ListParagraph"/>
        <w:numPr>
          <w:ilvl w:val="0"/>
          <w:numId w:val="2"/>
        </w:numPr>
        <w:spacing w:after="40" w:before="40" w:line="320"/>
      </w:pPr>
      <w:r>
        <w:rPr>
          <w:rFonts w:ascii="Arial" w:cs="Arial" w:eastAsia="Arial" w:hAnsi="Arial"/>
          <w:color w:val="0C0D10"/>
          <w:sz w:val="22"/>
          <w:szCs w:val="22"/>
        </w:rPr>
        <w:t xml:space="preserve">Auth at the right channel for the risk tier (§5).</w:t>
      </w:r>
    </w:p>
    <w:p>
      <w:pPr>
        <w:pStyle w:val="ListParagraph"/>
        <w:numPr>
          <w:ilvl w:val="0"/>
          <w:numId w:val="2"/>
        </w:numPr>
        <w:spacing w:after="40" w:before="40" w:line="320"/>
      </w:pPr>
      <w:r>
        <w:rPr>
          <w:rFonts w:ascii="Arial" w:cs="Arial" w:eastAsia="Arial" w:hAnsi="Arial"/>
          <w:color w:val="0C0D10"/>
          <w:sz w:val="22"/>
          <w:szCs w:val="22"/>
        </w:rPr>
        <w:t xml:space="preserve">A Compliance Ledger write before dispatch (fail-closed; if the Ledger is down, the action is blocked).</w:t>
      </w:r>
    </w:p>
    <w:p>
      <w:pPr>
        <w:pStyle w:val="Heading2"/>
        <w:spacing w:after="80" w:before="280"/>
      </w:pPr>
      <w:r>
        <w:rPr>
          <w:rFonts w:ascii="Arial" w:cs="Arial" w:eastAsia="Arial" w:hAnsi="Arial"/>
          <w:b/>
          <w:bCs/>
          <w:color w:val="0C0D10"/>
          <w:sz w:val="26"/>
          <w:szCs w:val="26"/>
        </w:rPr>
        <w:t xml:space="preserve">4.4  What COMMITMENT_REQUIRED never does</w:t>
      </w:r>
    </w:p>
    <w:p>
      <w:pPr>
        <w:pStyle w:val="ListParagraph"/>
        <w:numPr>
          <w:ilvl w:val="0"/>
          <w:numId w:val="2"/>
        </w:numPr>
        <w:spacing w:after="40" w:before="40" w:line="320"/>
      </w:pPr>
      <w:r>
        <w:rPr>
          <w:rFonts w:ascii="Arial" w:cs="Arial" w:eastAsia="Arial" w:hAnsi="Arial"/>
          <w:color w:val="0C0D10"/>
          <w:sz w:val="22"/>
          <w:szCs w:val="22"/>
        </w:rPr>
        <w:t xml:space="preserve">Silent execution. Even at Level 4 (Full Auto), the receipt is shown and the Ledger logs the trace.</w:t>
      </w:r>
    </w:p>
    <w:p>
      <w:pPr>
        <w:pStyle w:val="ListParagraph"/>
        <w:numPr>
          <w:ilvl w:val="0"/>
          <w:numId w:val="2"/>
        </w:numPr>
        <w:spacing w:after="40" w:before="40" w:line="320"/>
      </w:pPr>
      <w:r>
        <w:rPr>
          <w:rFonts w:ascii="Arial" w:cs="Arial" w:eastAsia="Arial" w:hAnsi="Arial"/>
          <w:color w:val="0C0D10"/>
          <w:sz w:val="22"/>
          <w:szCs w:val="22"/>
        </w:rPr>
        <w:t xml:space="preserve">Pre-fill the auth value (e.g., an OTP) on the user's behalf.</w:t>
      </w:r>
    </w:p>
    <w:p>
      <w:pPr>
        <w:pStyle w:val="ListParagraph"/>
        <w:numPr>
          <w:ilvl w:val="0"/>
          <w:numId w:val="2"/>
        </w:numPr>
        <w:spacing w:after="40" w:before="40" w:line="320"/>
      </w:pPr>
      <w:r>
        <w:rPr>
          <w:rFonts w:ascii="Arial" w:cs="Arial" w:eastAsia="Arial" w:hAnsi="Arial"/>
          <w:color w:val="0C0D10"/>
          <w:sz w:val="22"/>
          <w:szCs w:val="22"/>
        </w:rPr>
        <w:t xml:space="preserve">Accept a verbal "yes" alone for Hard-financial actions on voice-only surfaces — those require a separate auth channel (deep-link UPI on the user's app, biometric prompt, in-app confirm).</w:t>
      </w:r>
    </w:p>
    <w:p>
      <w:pPr>
        <w:pStyle w:val="ListParagraph"/>
        <w:numPr>
          <w:ilvl w:val="0"/>
          <w:numId w:val="2"/>
        </w:numPr>
        <w:spacing w:after="40" w:before="40" w:line="320"/>
      </w:pPr>
      <w:r>
        <w:rPr>
          <w:rFonts w:ascii="Arial" w:cs="Arial" w:eastAsia="Arial" w:hAnsi="Arial"/>
          <w:color w:val="0C0D10"/>
          <w:sz w:val="22"/>
          <w:szCs w:val="22"/>
        </w:rPr>
        <w:t xml:space="preserve">Bypass the Compliance Ledger "on retry" or "because we're confident".</w:t>
      </w:r>
    </w:p>
    <w:p>
      <w:pPr>
        <w:pStyle w:val="Heading1"/>
        <w:spacing w:after="120" w:before="360"/>
      </w:pPr>
      <w:r>
        <w:rPr>
          <w:rFonts w:ascii="Arial" w:cs="Arial" w:eastAsia="Arial" w:hAnsi="Arial"/>
          <w:b/>
          <w:bCs/>
          <w:color w:val="0C0D10"/>
          <w:sz w:val="32"/>
          <w:szCs w:val="32"/>
        </w:rPr>
        <w:t xml:space="preserve">5.  Authentication floors per risk tier</w:t>
      </w:r>
    </w:p>
    <w:p>
      <w:pPr>
        <w:spacing w:after="120" w:before="0" w:line="320"/>
        <w:jc w:val="left"/>
      </w:pPr>
      <w:r>
        <w:rPr>
          <w:rFonts w:ascii="Arial" w:cs="Arial" w:eastAsia="Arial" w:hAnsi="Arial"/>
          <w:b w:val="false"/>
          <w:bCs w:val="false"/>
          <w:i w:val="false"/>
          <w:iCs w:val="false"/>
          <w:color w:val="0C0D10"/>
          <w:sz w:val="22"/>
          <w:szCs w:val="22"/>
        </w:rPr>
        <w:t xml:space="preserve">The auth floor is the minimum confirmation channel for each risk tier. Risk tiers are declared in the partner manifest (Ch. 11 §11.1) and inherited by internal flows. The auth floor is never lowered by confidence, autonomy, or repeat behaviour.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400"/>
        <w:gridCol w:w="4380"/>
      </w:tblGrid>
      <w:tr>
        <w:trPr>
          <w:tblHeader/>
        </w:trPr>
        <w:tc>
          <w:tcPr>
            <w:tcW w:type="dxa" w:w="11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Risk tier</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Minimum auth channel</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Where it lives</w:t>
            </w:r>
          </w:p>
        </w:tc>
        <w:tc>
          <w:tcPr>
            <w:tcW w:type="dxa" w:w="4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11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Low</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In-app authenticated session.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App-level identity (JioID).</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Plan info change · save preferences · low-stakes discovery.</w:t>
            </w:r>
          </w:p>
        </w:tc>
      </w:tr>
      <w:tr>
        <w:tc>
          <w:tcPr>
            <w:tcW w:type="dxa" w:w="11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Medium</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Explicit confirm tap + in-app auth.</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Confirmation surface + session token.</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Plan switch · linked-number change · billing-address change · cart commit (low value).</w:t>
            </w:r>
          </w:p>
        </w:tc>
      </w:tr>
      <w:tr>
        <w:tc>
          <w:tcPr>
            <w:tcW w:type="dxa" w:w="11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High</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UPI PIN / biometric + Compliance Ledger trace.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payment broker; partner never sees PIN.</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Bill pay · recharge · commerce checkout · partner-fulfilled commitment.</w:t>
            </w:r>
          </w:p>
        </w:tc>
      </w:tr>
      <w:tr>
        <w:tc>
          <w:tcPr>
            <w:tcW w:type="dxa" w:w="11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Critical</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Legal mandate flow with explicit consent UI.</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 creation surface (RBI-compliant).</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UPI AutoPay setup · recurring payment mandate · subscription mandate · loan or credit consent.</w:t>
            </w:r>
          </w:p>
        </w:tc>
      </w:tr>
    </w:tbl>
    <w:p>
      <w:pPr>
        <w:spacing w:after="120" w:before="120" w:line="320"/>
        <w:jc w:val="left"/>
      </w:pPr>
      <w:r>
        <w:rPr>
          <w:rFonts w:ascii="Arial" w:cs="Arial" w:eastAsia="Arial" w:hAnsi="Arial"/>
          <w:b w:val="false"/>
          <w:bCs w:val="false"/>
          <w:i/>
          <w:iCs/>
          <w:color w:val="55585E"/>
          <w:sz w:val="20"/>
          <w:szCs w:val="20"/>
        </w:rPr>
        <w:t xml:space="preserve">Partners may declare a higher auth floor than the risk tier requires (e.g., a Low-risk discovery flow asking for an extra confirmation for legal reasons in a regulated category). Partners may not declare a lower auth floor than the tier requires.</w:t>
      </w:r>
    </w:p>
    <w:p>
      <w:pPr>
        <w:pStyle w:val="Heading1"/>
        <w:spacing w:after="120" w:before="360"/>
      </w:pPr>
      <w:r>
        <w:rPr>
          <w:rFonts w:ascii="Arial" w:cs="Arial" w:eastAsia="Arial" w:hAnsi="Arial"/>
          <w:b/>
          <w:bCs/>
          <w:color w:val="0C0D10"/>
          <w:sz w:val="32"/>
          <w:szCs w:val="32"/>
        </w:rPr>
        <w:t xml:space="preserve">6.  Reversibility windows</w:t>
      </w:r>
    </w:p>
    <w:p>
      <w:pPr>
        <w:spacing w:after="120" w:before="0" w:line="320"/>
        <w:jc w:val="left"/>
      </w:pPr>
      <w:r>
        <w:rPr>
          <w:rFonts w:ascii="Arial" w:cs="Arial" w:eastAsia="Arial" w:hAnsi="Arial"/>
          <w:b w:val="false"/>
          <w:bCs w:val="false"/>
          <w:i w:val="false"/>
          <w:iCs w:val="false"/>
          <w:color w:val="0C0D10"/>
          <w:sz w:val="22"/>
          <w:szCs w:val="22"/>
        </w:rPr>
        <w:t xml:space="preserve">Reversibility windows are the undo periods after a Soft, Semi-Auto, or Full-Auto action. They are surfaced visibly on the confirmation, again on the receipt, and again on the home view. After the window expires, the action is irreversible from JBIQ's side (banks, partners, and mandate authorities may have their own further windows or processes; those are outside JBIQ).</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4380"/>
      </w:tblGrid>
      <w:tr>
        <w:trPr>
          <w:tblHeader/>
        </w:trPr>
        <w:tc>
          <w:tcPr>
            <w:tcW w:type="dxa" w:w="2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Action class</w:t>
            </w:r>
          </w:p>
        </w:tc>
        <w:tc>
          <w:tcPr>
            <w:tcW w:type="dxa" w:w="1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Window</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How undo surfaces</w:t>
            </w:r>
          </w:p>
        </w:tc>
        <w:tc>
          <w:tcPr>
            <w:tcW w:type="dxa" w:w="4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After window expires</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Reversible plan change</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60 seconds</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Toast with [Undo] · Memory UI history.</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Action becomes Hard-functional — to reverse, re-execute the change to the old value.</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Recharge (network-side)</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30 seconds</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Toast with [Undo] · receipt.</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Recharge is on the network; reversal requires a refund flow (Ch. 9).</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Bill payment (bank-side)</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 seconds</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Toast with [Undo] · receipt.</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Bank settlement starts; reversal requires the bank's refund process.</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Cart commit</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SLA — typically 1–5 min.</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Order screen with [Cancel].</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Order moves to partner fulfilment; reversal goes through partner's cancellation flow.</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 (UPI AutoPay etc.)</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N/A — mandate is legally binding.</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 management surface, not undo.</w:t>
            </w:r>
          </w:p>
        </w:tc>
        <w:tc>
          <w:tcPr>
            <w:tcW w:type="dxa" w:w="4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Revocation is a separate flow with its own legal consent.</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delete</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24h propagation (Ch. 7 §13).</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UI propagation indicator.</w:t>
            </w:r>
          </w:p>
        </w:tc>
        <w:tc>
          <w:tcPr>
            <w:tcW w:type="dxa" w:w="4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Deletion is final; deleted memory never resurfaces.</w:t>
            </w:r>
          </w:p>
        </w:tc>
      </w:tr>
    </w:tbl>
    <w:p>
      <w:pPr>
        <w:pStyle w:val="Heading1"/>
        <w:spacing w:after="120" w:before="360"/>
      </w:pPr>
      <w:r>
        <w:rPr>
          <w:rFonts w:ascii="Arial" w:cs="Arial" w:eastAsia="Arial" w:hAnsi="Arial"/>
          <w:b/>
          <w:bCs/>
          <w:color w:val="0C0D10"/>
          <w:sz w:val="32"/>
          <w:szCs w:val="32"/>
        </w:rPr>
        <w:t xml:space="preserve">7.  Secrets — what is never asked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CEAEC" w:val="clear"/>
            <w:tcMar>
              <w:top w:type="dxa" w:w="160"/>
              <w:left w:type="dxa" w:w="200"/>
              <w:bottom w:type="dxa" w:w="160"/>
              <w:right w:type="dxa" w:w="200"/>
            </w:tcMar>
          </w:tcPr>
          <w:p>
            <w:pPr>
              <w:spacing w:after="80"/>
            </w:pPr>
            <w:r>
              <w:rPr>
                <w:rFonts w:ascii="Arial" w:cs="Arial" w:eastAsia="Arial" w:hAnsi="Arial"/>
                <w:b/>
                <w:bCs/>
                <w:color w:val="FA2F40"/>
                <w:spacing w:val="30"/>
                <w:sz w:val="18"/>
                <w:szCs w:val="18"/>
              </w:rPr>
              <w:t xml:space="preserve">THE ABSOLUTE FLOOR</w:t>
            </w:r>
          </w:p>
          <w:p>
            <w:pPr>
              <w:spacing w:after="60" w:line="320"/>
            </w:pPr>
            <w:r>
              <w:rPr>
                <w:rFonts w:ascii="Arial" w:cs="Arial" w:eastAsia="Arial" w:hAnsi="Arial"/>
                <w:b/>
                <w:bCs/>
                <w:color w:val="0C0D10"/>
                <w:sz w:val="22"/>
                <w:szCs w:val="22"/>
              </w:rPr>
              <w:t xml:space="preserve">JBIQ never asks for, stores, repeats, or logs: OTPs, PINs, full card numbers, full Aadhaar numbers, biometric data, CVV values. Ever. In any language. On any surface. Through any partner. Under any autonomy level. With any confidence.</w:t>
            </w:r>
          </w:p>
        </w:tc>
      </w:tr>
    </w:tbl>
    <w:p>
      <w:pPr>
        <w:pStyle w:val="Heading2"/>
        <w:spacing w:after="80" w:before="280"/>
      </w:pPr>
      <w:r>
        <w:rPr>
          <w:rFonts w:ascii="Arial" w:cs="Arial" w:eastAsia="Arial" w:hAnsi="Arial"/>
          <w:b/>
          <w:bCs/>
          <w:color w:val="0C0D10"/>
          <w:sz w:val="26"/>
          <w:szCs w:val="26"/>
        </w:rPr>
        <w:t xml:space="preserve">7.1  When the user volunteers a secret</w:t>
      </w:r>
    </w:p>
    <w:p>
      <w:pPr>
        <w:spacing w:after="120" w:before="0" w:line="320"/>
        <w:jc w:val="left"/>
      </w:pPr>
      <w:r>
        <w:rPr>
          <w:rFonts w:ascii="Arial" w:cs="Arial" w:eastAsia="Arial" w:hAnsi="Arial"/>
          <w:b w:val="false"/>
          <w:bCs w:val="false"/>
          <w:i w:val="false"/>
          <w:iCs w:val="false"/>
          <w:color w:val="0C0D10"/>
          <w:sz w:val="22"/>
          <w:szCs w:val="22"/>
        </w:rPr>
        <w:t xml:space="preserve">Users sometimes volunteer secrets — typing an OTP into chat thinking it's faster, speaking a PIN aloud, pasting an Aadhaar number for a KYC flow. JBIQ:</w:t>
      </w:r>
    </w:p>
    <w:p>
      <w:pPr>
        <w:pStyle w:val="ListParagraph"/>
        <w:numPr>
          <w:ilvl w:val="0"/>
          <w:numId w:val="2"/>
        </w:numPr>
        <w:spacing w:after="40" w:before="40" w:line="320"/>
      </w:pPr>
      <w:r>
        <w:rPr>
          <w:rFonts w:ascii="Arial" w:cs="Arial" w:eastAsia="Arial" w:hAnsi="Arial"/>
          <w:color w:val="0C0D10"/>
          <w:sz w:val="22"/>
          <w:szCs w:val="22"/>
        </w:rPr>
        <w:t xml:space="preserve">Does not echo the value back, even partially.</w:t>
      </w:r>
    </w:p>
    <w:p>
      <w:pPr>
        <w:pStyle w:val="ListParagraph"/>
        <w:numPr>
          <w:ilvl w:val="0"/>
          <w:numId w:val="2"/>
        </w:numPr>
        <w:spacing w:after="40" w:before="40" w:line="320"/>
      </w:pPr>
      <w:r>
        <w:rPr>
          <w:rFonts w:ascii="Arial" w:cs="Arial" w:eastAsia="Arial" w:hAnsi="Arial"/>
          <w:color w:val="0C0D10"/>
          <w:sz w:val="22"/>
          <w:szCs w:val="22"/>
        </w:rPr>
        <w:t xml:space="preserve">Does not log the value to memory, ledger, or any other store.</w:t>
      </w:r>
    </w:p>
    <w:p>
      <w:pPr>
        <w:pStyle w:val="ListParagraph"/>
        <w:numPr>
          <w:ilvl w:val="0"/>
          <w:numId w:val="2"/>
        </w:numPr>
        <w:spacing w:after="40" w:before="40" w:line="320"/>
      </w:pPr>
      <w:r>
        <w:rPr>
          <w:rFonts w:ascii="Arial" w:cs="Arial" w:eastAsia="Arial" w:hAnsi="Arial"/>
          <w:color w:val="0C0D10"/>
          <w:sz w:val="22"/>
          <w:szCs w:val="22"/>
        </w:rPr>
        <w:t xml:space="preserve">Declines politely in language, with the next step.</w:t>
      </w:r>
    </w:p>
    <w:p>
      <w:pPr>
        <w:pStyle w:val="ListParagraph"/>
        <w:numPr>
          <w:ilvl w:val="0"/>
          <w:numId w:val="2"/>
        </w:numPr>
        <w:spacing w:after="40" w:before="40" w:line="320"/>
      </w:pPr>
      <w:r>
        <w:rPr>
          <w:rFonts w:ascii="Arial" w:cs="Arial" w:eastAsia="Arial" w:hAnsi="Arial"/>
          <w:color w:val="0C0D10"/>
          <w:sz w:val="22"/>
          <w:szCs w:val="22"/>
        </w:rPr>
        <w:t xml:space="preserve">If the secret is an OTP from a third party ("someone asked me to send this"), warns the user of the likely scam pattern and offers JioCare escalation.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sends OTP: "123456". JBIQ: "Thanks, processing your OTP 123456 now." (echoes + acts on it)</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"Thanks — but please don't send the OTP here. I'll never need it. If someone else asked you to share it, that's a scam pattern — let's pause and tell JioCare."</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sends card details: "4532 1234 5678 9012, CVV 123, exp 11/27". JBIQ stores or repeats.</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"I don't take card details here — never. The payment will run through JioPay or your linked UPI app; you'll authenticate there. Want me to start the bill pay flow?"</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 says PIN aloud. JBIQ confirms verbally.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"Heard that — please don't say PINs out loud. We'll authenticate through your UPI app when it's time."</w:t>
            </w:r>
          </w:p>
        </w:tc>
      </w:tr>
    </w:tbl>
    <w:p>
      <w:pPr>
        <w:pStyle w:val="Heading2"/>
        <w:spacing w:after="80" w:before="280"/>
      </w:pPr>
      <w:r>
        <w:rPr>
          <w:rFonts w:ascii="Arial" w:cs="Arial" w:eastAsia="Arial" w:hAnsi="Arial"/>
          <w:b/>
          <w:bCs/>
          <w:color w:val="0C0D10"/>
          <w:sz w:val="26"/>
          <w:szCs w:val="26"/>
        </w:rPr>
        <w:t xml:space="preserve">7.2  Adapter and partner contract</w:t>
      </w:r>
    </w:p>
    <w:p>
      <w:pPr>
        <w:spacing w:after="120" w:before="0" w:line="320"/>
        <w:jc w:val="left"/>
      </w:pPr>
      <w:r>
        <w:rPr>
          <w:rFonts w:ascii="Arial" w:cs="Arial" w:eastAsia="Arial" w:hAnsi="Arial"/>
          <w:b w:val="false"/>
          <w:bCs w:val="false"/>
          <w:i w:val="false"/>
          <w:iCs w:val="false"/>
          <w:color w:val="0C0D10"/>
          <w:sz w:val="22"/>
          <w:szCs w:val="22"/>
        </w:rPr>
        <w:t xml:space="preserve">The Partner Capability Manifest (Ch. 11) prohibits OTP/PIN/Aadhaar/CVV values in any adapter field, log, or partner-bound payload. JBIQ tokenises every credential before any partner sees it. A partner found logging any of these values is moved to revoked under Manifest §10.</w:t>
      </w:r>
    </w:p>
    <w:p>
      <w:pPr>
        <w:pStyle w:val="Heading1"/>
        <w:spacing w:after="120" w:before="360"/>
      </w:pPr>
      <w:r>
        <w:rPr>
          <w:rFonts w:ascii="Arial" w:cs="Arial" w:eastAsia="Arial" w:hAnsi="Arial"/>
          <w:b/>
          <w:bCs/>
          <w:color w:val="0C0D10"/>
          <w:sz w:val="32"/>
          <w:szCs w:val="32"/>
        </w:rPr>
        <w:t xml:space="preserve">8.  RBI-relevant flows</w:t>
      </w:r>
    </w:p>
    <w:p>
      <w:pPr>
        <w:spacing w:after="120" w:before="0" w:line="320"/>
        <w:jc w:val="left"/>
      </w:pPr>
      <w:r>
        <w:rPr>
          <w:rFonts w:ascii="Arial" w:cs="Arial" w:eastAsia="Arial" w:hAnsi="Arial"/>
          <w:b w:val="false"/>
          <w:bCs w:val="false"/>
          <w:i w:val="false"/>
          <w:iCs w:val="false"/>
          <w:color w:val="0C0D10"/>
          <w:sz w:val="22"/>
          <w:szCs w:val="22"/>
        </w:rPr>
        <w:t xml:space="preserve">Indian payment regulation is non-negotiable. JBIQ's flows that touch RBI rails — UPI, AutoPay mandates, recurring payments, voice-initiated payments — follow the regulation as a baseline. The product never argues with the rules; it operates inside them and tells the user what they need to know in plain language.</w:t>
      </w:r>
    </w:p>
    <w:p>
      <w:pPr>
        <w:pStyle w:val="Heading2"/>
        <w:spacing w:after="80" w:before="280"/>
      </w:pPr>
      <w:r>
        <w:rPr>
          <w:rFonts w:ascii="Arial" w:cs="Arial" w:eastAsia="Arial" w:hAnsi="Arial"/>
          <w:b/>
          <w:bCs/>
          <w:color w:val="0C0D10"/>
          <w:sz w:val="26"/>
          <w:szCs w:val="26"/>
        </w:rPr>
        <w:t xml:space="preserve">8.1  UPI flows</w:t>
      </w:r>
    </w:p>
    <w:p>
      <w:pPr>
        <w:pStyle w:val="ListParagraph"/>
        <w:numPr>
          <w:ilvl w:val="0"/>
          <w:numId w:val="2"/>
        </w:numPr>
        <w:spacing w:after="40" w:before="40" w:line="320"/>
      </w:pPr>
      <w:r>
        <w:rPr>
          <w:rFonts w:ascii="Arial" w:cs="Arial" w:eastAsia="Arial" w:hAnsi="Arial"/>
          <w:color w:val="0C0D10"/>
          <w:sz w:val="22"/>
          <w:szCs w:val="22"/>
        </w:rPr>
        <w:t xml:space="preserve">UPI PIN is entered only on the user's UPI app — never in JBIQ.</w:t>
      </w:r>
    </w:p>
    <w:p>
      <w:pPr>
        <w:pStyle w:val="ListParagraph"/>
        <w:numPr>
          <w:ilvl w:val="0"/>
          <w:numId w:val="2"/>
        </w:numPr>
        <w:spacing w:after="40" w:before="40" w:line="320"/>
      </w:pPr>
      <w:r>
        <w:rPr>
          <w:rFonts w:ascii="Arial" w:cs="Arial" w:eastAsia="Arial" w:hAnsi="Arial"/>
          <w:color w:val="0C0D10"/>
          <w:sz w:val="22"/>
          <w:szCs w:val="22"/>
        </w:rPr>
        <w:t xml:space="preserve">JBIQ deep-links into the user's UPI app for PIN entry; the app returns a tokenised response to JBIQ.</w:t>
      </w:r>
    </w:p>
    <w:p>
      <w:pPr>
        <w:pStyle w:val="ListParagraph"/>
        <w:numPr>
          <w:ilvl w:val="0"/>
          <w:numId w:val="2"/>
        </w:numPr>
        <w:spacing w:after="40" w:before="40" w:line="320"/>
      </w:pPr>
      <w:r>
        <w:rPr>
          <w:rFonts w:ascii="Arial" w:cs="Arial" w:eastAsia="Arial" w:hAnsi="Arial"/>
          <w:color w:val="0C0D10"/>
          <w:sz w:val="22"/>
          <w:szCs w:val="22"/>
        </w:rPr>
        <w:t xml:space="preserve">Voice-only surfaces (speaker, IVR) cannot complete a UPI payment in voice alone — they hand off to the user's mobile app or to an SMS deep-link.</w:t>
      </w:r>
    </w:p>
    <w:p>
      <w:pPr>
        <w:pStyle w:val="ListParagraph"/>
        <w:numPr>
          <w:ilvl w:val="0"/>
          <w:numId w:val="2"/>
        </w:numPr>
        <w:spacing w:after="40" w:before="40" w:line="320"/>
      </w:pPr>
      <w:r>
        <w:rPr>
          <w:rFonts w:ascii="Arial" w:cs="Arial" w:eastAsia="Arial" w:hAnsi="Arial"/>
          <w:color w:val="0C0D10"/>
          <w:sz w:val="22"/>
          <w:szCs w:val="22"/>
        </w:rPr>
        <w:t xml:space="preserve">Per-transaction caps in voice flows follow RBI's current voice-payment guidance (subject to revision; engineering owns the live config).</w:t>
      </w:r>
    </w:p>
    <w:p>
      <w:pPr>
        <w:pStyle w:val="Heading2"/>
        <w:spacing w:after="80" w:before="280"/>
      </w:pPr>
      <w:r>
        <w:rPr>
          <w:rFonts w:ascii="Arial" w:cs="Arial" w:eastAsia="Arial" w:hAnsi="Arial"/>
          <w:b/>
          <w:bCs/>
          <w:color w:val="0C0D10"/>
          <w:sz w:val="26"/>
          <w:szCs w:val="26"/>
        </w:rPr>
        <w:t xml:space="preserve">8.2  Mandate flows (UPI AutoPay, recurring)</w:t>
      </w:r>
    </w:p>
    <w:p>
      <w:pPr>
        <w:pStyle w:val="ListParagraph"/>
        <w:numPr>
          <w:ilvl w:val="0"/>
          <w:numId w:val="2"/>
        </w:numPr>
        <w:spacing w:after="40" w:before="40" w:line="320"/>
      </w:pPr>
      <w:r>
        <w:rPr>
          <w:rFonts w:ascii="Arial" w:cs="Arial" w:eastAsia="Arial" w:hAnsi="Arial"/>
          <w:color w:val="0C0D10"/>
          <w:sz w:val="22"/>
          <w:szCs w:val="22"/>
        </w:rPr>
        <w:t xml:space="preserve">Mandate setup is a separate, explicit flow. It cannot be entered conversationally.</w:t>
      </w:r>
    </w:p>
    <w:p>
      <w:pPr>
        <w:pStyle w:val="ListParagraph"/>
        <w:numPr>
          <w:ilvl w:val="0"/>
          <w:numId w:val="2"/>
        </w:numPr>
        <w:spacing w:after="40" w:before="40" w:line="320"/>
      </w:pPr>
      <w:r>
        <w:rPr>
          <w:rFonts w:ascii="Arial" w:cs="Arial" w:eastAsia="Arial" w:hAnsi="Arial"/>
          <w:color w:val="0C0D10"/>
          <w:sz w:val="22"/>
          <w:szCs w:val="22"/>
        </w:rPr>
        <w:t xml:space="preserve">Every mandate shows: payee, amount, frequency, cap, expiry, and revocation path.</w:t>
      </w:r>
    </w:p>
    <w:p>
      <w:pPr>
        <w:pStyle w:val="ListParagraph"/>
        <w:numPr>
          <w:ilvl w:val="0"/>
          <w:numId w:val="2"/>
        </w:numPr>
        <w:spacing w:after="40" w:before="40" w:line="320"/>
      </w:pPr>
      <w:r>
        <w:rPr>
          <w:rFonts w:ascii="Arial" w:cs="Arial" w:eastAsia="Arial" w:hAnsi="Arial"/>
          <w:color w:val="0C0D10"/>
          <w:sz w:val="22"/>
          <w:szCs w:val="22"/>
        </w:rPr>
        <w:t xml:space="preserve">Revocation is one-tap from JioCare → Auto-pay or from the user's UPI app. Revocation is acknowledged in JBIQ within 24h cross-surface (Ch. 7 §9.2).</w:t>
      </w:r>
    </w:p>
    <w:p>
      <w:pPr>
        <w:pStyle w:val="ListParagraph"/>
        <w:numPr>
          <w:ilvl w:val="0"/>
          <w:numId w:val="2"/>
        </w:numPr>
        <w:spacing w:after="40" w:before="40" w:line="320"/>
      </w:pPr>
      <w:r>
        <w:rPr>
          <w:rFonts w:ascii="Arial" w:cs="Arial" w:eastAsia="Arial" w:hAnsi="Arial"/>
          <w:color w:val="0C0D10"/>
          <w:sz w:val="22"/>
          <w:szCs w:val="22"/>
        </w:rPr>
        <w:t xml:space="preserve">JBIQ never silently re-creates a revoked mandate. A re-creation requires a fresh mandate setup with explicit consent.</w:t>
      </w:r>
    </w:p>
    <w:p>
      <w:pPr>
        <w:pStyle w:val="Heading2"/>
        <w:spacing w:after="80" w:before="280"/>
      </w:pPr>
      <w:r>
        <w:rPr>
          <w:rFonts w:ascii="Arial" w:cs="Arial" w:eastAsia="Arial" w:hAnsi="Arial"/>
          <w:b/>
          <w:bCs/>
          <w:color w:val="0C0D10"/>
          <w:sz w:val="26"/>
          <w:szCs w:val="26"/>
        </w:rPr>
        <w:t xml:space="preserve">8.3  Voice-payment guardrails</w:t>
      </w:r>
    </w:p>
    <w:p>
      <w:pPr>
        <w:pStyle w:val="ListParagraph"/>
        <w:numPr>
          <w:ilvl w:val="0"/>
          <w:numId w:val="2"/>
        </w:numPr>
        <w:spacing w:after="40" w:before="40" w:line="320"/>
      </w:pPr>
      <w:r>
        <w:rPr>
          <w:rFonts w:ascii="Arial" w:cs="Arial" w:eastAsia="Arial" w:hAnsi="Arial"/>
          <w:color w:val="0C0D10"/>
          <w:sz w:val="22"/>
          <w:szCs w:val="22"/>
        </w:rPr>
        <w:t xml:space="preserve">Voice initiation is permitted; voice authentication for Hard-financial actions is not. Auth is always at the strongest available channel (UPI PIN / biometric in-app).</w:t>
      </w:r>
    </w:p>
    <w:p>
      <w:pPr>
        <w:pStyle w:val="ListParagraph"/>
        <w:numPr>
          <w:ilvl w:val="0"/>
          <w:numId w:val="2"/>
        </w:numPr>
        <w:spacing w:after="40" w:before="40" w:line="320"/>
      </w:pPr>
      <w:r>
        <w:rPr>
          <w:rFonts w:ascii="Arial" w:cs="Arial" w:eastAsia="Arial" w:hAnsi="Arial"/>
          <w:color w:val="0C0D10"/>
          <w:sz w:val="22"/>
          <w:szCs w:val="22"/>
        </w:rPr>
        <w:t xml:space="preserve">Voice + UI surfaces use the visual for the auth step; voice-only surfaces hand off via SMS deep-link or fall back to scheduling for app-time.</w:t>
      </w:r>
    </w:p>
    <w:p>
      <w:pPr>
        <w:pStyle w:val="ListParagraph"/>
        <w:numPr>
          <w:ilvl w:val="0"/>
          <w:numId w:val="2"/>
        </w:numPr>
        <w:spacing w:after="40" w:before="40" w:line="320"/>
      </w:pPr>
      <w:r>
        <w:rPr>
          <w:rFonts w:ascii="Arial" w:cs="Arial" w:eastAsia="Arial" w:hAnsi="Arial"/>
          <w:color w:val="0C0D10"/>
          <w:sz w:val="22"/>
          <w:szCs w:val="22"/>
        </w:rPr>
        <w:t xml:space="preserve">Voice spoofing is a known risk (Ch. 10 §10.4). JBIQ does not accept voice-only confirmation for any Hard-financial action regardless of voiceprint strength.</w:t>
      </w:r>
    </w:p>
    <w:p>
      <w:pPr>
        <w:pStyle w:val="Heading1"/>
        <w:spacing w:after="120" w:before="360"/>
      </w:pPr>
      <w:r>
        <w:rPr>
          <w:rFonts w:ascii="Arial" w:cs="Arial" w:eastAsia="Arial" w:hAnsi="Arial"/>
          <w:b/>
          <w:bCs/>
          <w:color w:val="0C0D10"/>
          <w:sz w:val="32"/>
          <w:szCs w:val="32"/>
        </w:rPr>
        <w:t xml:space="preserve">9.  Provenance and the Compliance Ledger</w:t>
      </w:r>
    </w:p>
    <w:p>
      <w:pPr>
        <w:spacing w:after="120" w:before="0" w:line="320"/>
        <w:jc w:val="left"/>
      </w:pPr>
      <w:r>
        <w:rPr>
          <w:rFonts w:ascii="Arial" w:cs="Arial" w:eastAsia="Arial" w:hAnsi="Arial"/>
          <w:b w:val="false"/>
          <w:bCs w:val="false"/>
          <w:i w:val="false"/>
          <w:iCs w:val="false"/>
          <w:color w:val="0C0D10"/>
          <w:sz w:val="22"/>
          <w:szCs w:val="22"/>
        </w:rPr>
        <w:t xml:space="preserve">Every commitment is captured to the Compliance Ledger with a reasoning trace before the action dispatches. The Ledger is fail-closed — if a Ledger write fails, the action is blocked. The Ledger is queryable by user, by domain, by partner; it is the regulatory and customer-trust audit substrate.</w:t>
      </w:r>
    </w:p>
    <w:p>
      <w:pPr>
        <w:pStyle w:val="Heading2"/>
        <w:spacing w:after="80" w:before="280"/>
      </w:pPr>
      <w:r>
        <w:rPr>
          <w:rFonts w:ascii="Arial" w:cs="Arial" w:eastAsia="Arial" w:hAnsi="Arial"/>
          <w:b/>
          <w:bCs/>
          <w:color w:val="0C0D10"/>
          <w:sz w:val="26"/>
          <w:szCs w:val="26"/>
        </w:rPr>
        <w:t xml:space="preserve">9.1  What the Ledger captures</w:t>
      </w:r>
    </w:p>
    <w:p>
      <w:pPr>
        <w:pStyle w:val="ListParagraph"/>
        <w:numPr>
          <w:ilvl w:val="0"/>
          <w:numId w:val="2"/>
        </w:numPr>
        <w:spacing w:after="40" w:before="40" w:line="320"/>
      </w:pPr>
      <w:r>
        <w:rPr>
          <w:rFonts w:ascii="Arial" w:cs="Arial" w:eastAsia="Arial" w:hAnsi="Arial"/>
          <w:color w:val="0C0D10"/>
          <w:sz w:val="22"/>
          <w:szCs w:val="22"/>
        </w:rPr>
        <w:t xml:space="preserve">User identity (JioID-tokenised, never raw).</w:t>
      </w:r>
    </w:p>
    <w:p>
      <w:pPr>
        <w:pStyle w:val="ListParagraph"/>
        <w:numPr>
          <w:ilvl w:val="0"/>
          <w:numId w:val="2"/>
        </w:numPr>
        <w:spacing w:after="40" w:before="40" w:line="320"/>
      </w:pPr>
      <w:r>
        <w:rPr>
          <w:rFonts w:ascii="Arial" w:cs="Arial" w:eastAsia="Arial" w:hAnsi="Arial"/>
          <w:color w:val="0C0D10"/>
          <w:sz w:val="22"/>
          <w:szCs w:val="22"/>
        </w:rPr>
        <w:t xml:space="preserve">Action class, level, risk tier.</w:t>
      </w:r>
    </w:p>
    <w:p>
      <w:pPr>
        <w:pStyle w:val="ListParagraph"/>
        <w:numPr>
          <w:ilvl w:val="0"/>
          <w:numId w:val="2"/>
        </w:numPr>
        <w:spacing w:after="40" w:before="40" w:line="320"/>
      </w:pPr>
      <w:r>
        <w:rPr>
          <w:rFonts w:ascii="Arial" w:cs="Arial" w:eastAsia="Arial" w:hAnsi="Arial"/>
          <w:color w:val="0C0D10"/>
          <w:sz w:val="22"/>
          <w:szCs w:val="22"/>
        </w:rPr>
        <w:t xml:space="preserve">Inputs JBIQ used to construct the commitment (which memory signals, which partner manifest version, which autonomy level).</w:t>
      </w:r>
    </w:p>
    <w:p>
      <w:pPr>
        <w:pStyle w:val="ListParagraph"/>
        <w:numPr>
          <w:ilvl w:val="0"/>
          <w:numId w:val="2"/>
        </w:numPr>
        <w:spacing w:after="40" w:before="40" w:line="320"/>
      </w:pPr>
      <w:r>
        <w:rPr>
          <w:rFonts w:ascii="Arial" w:cs="Arial" w:eastAsia="Arial" w:hAnsi="Arial"/>
          <w:color w:val="0C0D10"/>
          <w:sz w:val="22"/>
          <w:szCs w:val="22"/>
        </w:rPr>
        <w:t xml:space="preserve">Authentication channel used.</w:t>
      </w:r>
    </w:p>
    <w:p>
      <w:pPr>
        <w:pStyle w:val="ListParagraph"/>
        <w:numPr>
          <w:ilvl w:val="0"/>
          <w:numId w:val="2"/>
        </w:numPr>
        <w:spacing w:after="40" w:before="40" w:line="320"/>
      </w:pPr>
      <w:r>
        <w:rPr>
          <w:rFonts w:ascii="Arial" w:cs="Arial" w:eastAsia="Arial" w:hAnsi="Arial"/>
          <w:color w:val="0C0D10"/>
          <w:sz w:val="22"/>
          <w:szCs w:val="22"/>
        </w:rPr>
        <w:t xml:space="preserve">Partner ID and tool version (where applicable; never raw partner credentials).</w:t>
      </w:r>
    </w:p>
    <w:p>
      <w:pPr>
        <w:pStyle w:val="ListParagraph"/>
        <w:numPr>
          <w:ilvl w:val="0"/>
          <w:numId w:val="2"/>
        </w:numPr>
        <w:spacing w:after="40" w:before="40" w:line="320"/>
      </w:pPr>
      <w:r>
        <w:rPr>
          <w:rFonts w:ascii="Arial" w:cs="Arial" w:eastAsia="Arial" w:hAnsi="Arial"/>
          <w:color w:val="0C0D10"/>
          <w:sz w:val="22"/>
          <w:szCs w:val="22"/>
        </w:rPr>
        <w:t xml:space="preserve">Timestamp, surface, language.</w:t>
      </w:r>
    </w:p>
    <w:p>
      <w:pPr>
        <w:pStyle w:val="ListParagraph"/>
        <w:numPr>
          <w:ilvl w:val="0"/>
          <w:numId w:val="2"/>
        </w:numPr>
        <w:spacing w:after="40" w:before="40" w:line="320"/>
      </w:pPr>
      <w:r>
        <w:rPr>
          <w:rFonts w:ascii="Arial" w:cs="Arial" w:eastAsia="Arial" w:hAnsi="Arial"/>
          <w:color w:val="0C0D10"/>
          <w:sz w:val="22"/>
          <w:szCs w:val="22"/>
        </w:rPr>
        <w:t xml:space="preserve">Outcome — confirmed, declined, errored, undone.</w:t>
      </w:r>
    </w:p>
    <w:p>
      <w:pPr>
        <w:pStyle w:val="Heading2"/>
        <w:spacing w:after="80" w:before="280"/>
      </w:pPr>
      <w:r>
        <w:rPr>
          <w:rFonts w:ascii="Arial" w:cs="Arial" w:eastAsia="Arial" w:hAnsi="Arial"/>
          <w:b/>
          <w:bCs/>
          <w:color w:val="0C0D10"/>
          <w:sz w:val="26"/>
          <w:szCs w:val="26"/>
        </w:rPr>
        <w:t xml:space="preserve">9.2  What the Ledger never captures</w:t>
      </w:r>
    </w:p>
    <w:p>
      <w:pPr>
        <w:pStyle w:val="ListParagraph"/>
        <w:numPr>
          <w:ilvl w:val="0"/>
          <w:numId w:val="2"/>
        </w:numPr>
        <w:spacing w:after="40" w:before="40" w:line="320"/>
      </w:pPr>
      <w:r>
        <w:rPr>
          <w:rFonts w:ascii="Arial" w:cs="Arial" w:eastAsia="Arial" w:hAnsi="Arial"/>
          <w:color w:val="0C0D10"/>
          <w:sz w:val="22"/>
          <w:szCs w:val="22"/>
        </w:rPr>
        <w:t xml:space="preserve">Secrets per §7 — OTP, PIN, full card, Aadhaar, biometric, CVV.</w:t>
      </w:r>
    </w:p>
    <w:p>
      <w:pPr>
        <w:pStyle w:val="ListParagraph"/>
        <w:numPr>
          <w:ilvl w:val="0"/>
          <w:numId w:val="2"/>
        </w:numPr>
        <w:spacing w:after="40" w:before="40" w:line="320"/>
      </w:pPr>
      <w:r>
        <w:rPr>
          <w:rFonts w:ascii="Arial" w:cs="Arial" w:eastAsia="Arial" w:hAnsi="Arial"/>
          <w:color w:val="0C0D10"/>
          <w:sz w:val="22"/>
          <w:szCs w:val="22"/>
        </w:rPr>
        <w:t xml:space="preserve">Raw bank account numbers — masked at write time.</w:t>
      </w:r>
    </w:p>
    <w:p>
      <w:pPr>
        <w:pStyle w:val="ListParagraph"/>
        <w:numPr>
          <w:ilvl w:val="0"/>
          <w:numId w:val="2"/>
        </w:numPr>
        <w:spacing w:after="40" w:before="40" w:line="320"/>
      </w:pPr>
      <w:r>
        <w:rPr>
          <w:rFonts w:ascii="Arial" w:cs="Arial" w:eastAsia="Arial" w:hAnsi="Arial"/>
          <w:color w:val="0C0D10"/>
          <w:sz w:val="22"/>
          <w:szCs w:val="22"/>
        </w:rPr>
        <w:t xml:space="preserve">Free-text payment notes — those go to the partner's order record, never to JBIQ's ledger.</w:t>
      </w:r>
    </w:p>
    <w:p>
      <w:pPr>
        <w:pStyle w:val="ListParagraph"/>
        <w:numPr>
          <w:ilvl w:val="0"/>
          <w:numId w:val="2"/>
        </w:numPr>
        <w:spacing w:after="40" w:before="40" w:line="320"/>
      </w:pPr>
      <w:r>
        <w:rPr>
          <w:rFonts w:ascii="Arial" w:cs="Arial" w:eastAsia="Arial" w:hAnsi="Arial"/>
          <w:color w:val="0C0D10"/>
          <w:sz w:val="22"/>
          <w:szCs w:val="22"/>
        </w:rPr>
        <w:t xml:space="preserve">Cross-domain identifiers that link health to commerce, or any other cross-domain link without explicit user consent.</w:t>
      </w:r>
    </w:p>
    <w:p>
      <w:pPr>
        <w:pStyle w:val="Heading2"/>
        <w:spacing w:after="80" w:before="280"/>
      </w:pPr>
      <w:r>
        <w:rPr>
          <w:rFonts w:ascii="Arial" w:cs="Arial" w:eastAsia="Arial" w:hAnsi="Arial"/>
          <w:b/>
          <w:bCs/>
          <w:color w:val="0C0D10"/>
          <w:sz w:val="26"/>
          <w:szCs w:val="26"/>
        </w:rPr>
        <w:t xml:space="preserve">9.3  Ledger fail-closed behaviour</w:t>
      </w:r>
    </w:p>
    <w:p>
      <w:pPr>
        <w:spacing w:after="120" w:before="0" w:line="320"/>
        <w:jc w:val="left"/>
      </w:pPr>
      <w:r>
        <w:rPr>
          <w:rFonts w:ascii="Arial" w:cs="Arial" w:eastAsia="Arial" w:hAnsi="Arial"/>
          <w:b w:val="false"/>
          <w:bCs w:val="false"/>
          <w:i w:val="false"/>
          <w:iCs w:val="false"/>
          <w:color w:val="0C0D10"/>
          <w:sz w:val="22"/>
          <w:szCs w:val="22"/>
        </w:rPr>
        <w:t xml:space="preserve">If a Ledger write fails (storage outage, partition, validation error), the commitment is frozen and the user sees a degraded-mode message: "I can't safely complete this right now — our audit log is offline. Want me to retry in a minute, or set a reminder for later?" The action does not dispatch. This is the Memory Model §11a invariant carried into commitment.</w:t>
      </w:r>
    </w:p>
    <w:p>
      <w:pPr>
        <w:pStyle w:val="Heading1"/>
        <w:spacing w:after="120" w:before="360"/>
      </w:pPr>
      <w:r>
        <w:rPr>
          <w:rFonts w:ascii="Arial" w:cs="Arial" w:eastAsia="Arial" w:hAnsi="Arial"/>
          <w:b/>
          <w:bCs/>
          <w:color w:val="0C0D10"/>
          <w:sz w:val="32"/>
          <w:szCs w:val="32"/>
        </w:rPr>
        <w:t xml:space="preserve">10.  Confirmation in voice</w:t>
      </w:r>
    </w:p>
    <w:p>
      <w:pPr>
        <w:spacing w:after="120" w:before="0" w:line="320"/>
        <w:jc w:val="left"/>
      </w:pPr>
      <w:r>
        <w:rPr>
          <w:rFonts w:ascii="Arial" w:cs="Arial" w:eastAsia="Arial" w:hAnsi="Arial"/>
          <w:b w:val="false"/>
          <w:bCs w:val="false"/>
          <w:i w:val="false"/>
          <w:iCs w:val="false"/>
          <w:color w:val="0C0D10"/>
          <w:sz w:val="22"/>
          <w:szCs w:val="22"/>
        </w:rPr>
        <w:t xml:space="preserve">Voice confirmation is the easiest place to break the security floor. The rules are tight.</w:t>
      </w:r>
    </w:p>
    <w:p>
      <w:pPr>
        <w:pStyle w:val="Heading2"/>
        <w:spacing w:after="80" w:before="280"/>
      </w:pPr>
      <w:r>
        <w:rPr>
          <w:rFonts w:ascii="Arial" w:cs="Arial" w:eastAsia="Arial" w:hAnsi="Arial"/>
          <w:b/>
          <w:bCs/>
          <w:color w:val="0C0D10"/>
          <w:sz w:val="26"/>
          <w:szCs w:val="26"/>
        </w:rPr>
        <w:t xml:space="preserve">10.1  What's a confirmation vs a refinement pivot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RULE</w:t>
            </w:r>
          </w:p>
          <w:p>
            <w:pPr>
              <w:spacing w:after="60" w:line="320"/>
            </w:pPr>
            <w:r>
              <w:rPr>
                <w:rFonts w:ascii="Arial" w:cs="Arial" w:eastAsia="Arial" w:hAnsi="Arial"/>
                <w:b/>
                <w:bCs/>
                <w:color w:val="0C0D10"/>
                <w:sz w:val="22"/>
                <w:szCs w:val="22"/>
              </w:rPr>
              <w:t xml:space="preserve">A refinement pivot offers the user a choice between commit and refine: "Book this, or hear the others?" A confirmation closes the loop on a specific action: "Pay ₹299 from PhonePe UPI now?" — and waits for the explicit go-ahead at the right auth channel. The two are different states; never mix them.</w:t>
            </w:r>
          </w:p>
        </w:tc>
      </w:tr>
    </w:tbl>
    <w:p>
      <w:pPr>
        <w:pStyle w:val="Heading2"/>
        <w:spacing w:after="80" w:before="280"/>
      </w:pPr>
      <w:r>
        <w:rPr>
          <w:rFonts w:ascii="Arial" w:cs="Arial" w:eastAsia="Arial" w:hAnsi="Arial"/>
          <w:b/>
          <w:bCs/>
          <w:color w:val="0C0D10"/>
          <w:sz w:val="26"/>
          <w:szCs w:val="26"/>
        </w:rPr>
        <w:t xml:space="preserve">10.2  Voice + UI confirmation</w:t>
      </w:r>
    </w:p>
    <w:p>
      <w:pPr>
        <w:pStyle w:val="ListParagraph"/>
        <w:numPr>
          <w:ilvl w:val="0"/>
          <w:numId w:val="2"/>
        </w:numPr>
        <w:spacing w:after="40" w:before="40" w:line="320"/>
      </w:pPr>
      <w:r>
        <w:rPr>
          <w:rFonts w:ascii="Arial" w:cs="Arial" w:eastAsia="Arial" w:hAnsi="Arial"/>
          <w:color w:val="0C0D10"/>
          <w:sz w:val="22"/>
          <w:szCs w:val="22"/>
        </w:rPr>
        <w:t xml:space="preserve">Voice anchors the commitment in spoken form ("₹299 to your number — paying now?").</w:t>
      </w:r>
    </w:p>
    <w:p>
      <w:pPr>
        <w:pStyle w:val="ListParagraph"/>
        <w:numPr>
          <w:ilvl w:val="0"/>
          <w:numId w:val="2"/>
        </w:numPr>
        <w:spacing w:after="40" w:before="40" w:line="320"/>
      </w:pPr>
      <w:r>
        <w:rPr>
          <w:rFonts w:ascii="Arial" w:cs="Arial" w:eastAsia="Arial" w:hAnsi="Arial"/>
          <w:color w:val="0C0D10"/>
          <w:sz w:val="22"/>
          <w:szCs w:val="22"/>
        </w:rPr>
        <w:t xml:space="preserve">UI surfaces the auth screen (UPI PIN entry in the user's UPI app; biometric prompt in JBIQ; etc.).</w:t>
      </w:r>
    </w:p>
    <w:p>
      <w:pPr>
        <w:pStyle w:val="ListParagraph"/>
        <w:numPr>
          <w:ilvl w:val="0"/>
          <w:numId w:val="2"/>
        </w:numPr>
        <w:spacing w:after="40" w:before="40" w:line="320"/>
      </w:pPr>
      <w:r>
        <w:rPr>
          <w:rFonts w:ascii="Arial" w:cs="Arial" w:eastAsia="Arial" w:hAnsi="Arial"/>
          <w:color w:val="0C0D10"/>
          <w:sz w:val="22"/>
          <w:szCs w:val="22"/>
        </w:rPr>
        <w:t xml:space="preserve">User authenticates on the UI; JBIQ confirms in voice with the receipt ("Done — ₹299 paid, receipt in JioCare.").</w:t>
      </w:r>
    </w:p>
    <w:p>
      <w:pPr>
        <w:pStyle w:val="Heading2"/>
        <w:spacing w:after="80" w:before="280"/>
      </w:pPr>
      <w:r>
        <w:rPr>
          <w:rFonts w:ascii="Arial" w:cs="Arial" w:eastAsia="Arial" w:hAnsi="Arial"/>
          <w:b/>
          <w:bCs/>
          <w:color w:val="0C0D10"/>
          <w:sz w:val="26"/>
          <w:szCs w:val="26"/>
        </w:rPr>
        <w:t xml:space="preserve">10.3  Voice-only confirmation</w:t>
      </w:r>
    </w:p>
    <w:p>
      <w:pPr>
        <w:pStyle w:val="ListParagraph"/>
        <w:numPr>
          <w:ilvl w:val="0"/>
          <w:numId w:val="2"/>
        </w:numPr>
        <w:spacing w:after="40" w:before="40" w:line="320"/>
      </w:pPr>
      <w:r>
        <w:rPr>
          <w:rFonts w:ascii="Arial" w:cs="Arial" w:eastAsia="Arial" w:hAnsi="Arial"/>
          <w:color w:val="0C0D10"/>
          <w:sz w:val="22"/>
          <w:szCs w:val="22"/>
        </w:rPr>
        <w:t xml:space="preserve">Voice alone cannot confirm a Hard-financial action.</w:t>
      </w:r>
    </w:p>
    <w:p>
      <w:pPr>
        <w:pStyle w:val="ListParagraph"/>
        <w:numPr>
          <w:ilvl w:val="0"/>
          <w:numId w:val="2"/>
        </w:numPr>
        <w:spacing w:after="40" w:before="40" w:line="320"/>
      </w:pPr>
      <w:r>
        <w:rPr>
          <w:rFonts w:ascii="Arial" w:cs="Arial" w:eastAsia="Arial" w:hAnsi="Arial"/>
          <w:color w:val="0C0D10"/>
          <w:sz w:val="22"/>
          <w:szCs w:val="22"/>
        </w:rPr>
        <w:t xml:space="preserve">JBIQ hands off — either to an SMS deep-link the user can complete on their phone, or to a scheduled "complete when you next open the app" pattern.</w:t>
      </w:r>
    </w:p>
    <w:p>
      <w:pPr>
        <w:pStyle w:val="ListParagraph"/>
        <w:numPr>
          <w:ilvl w:val="0"/>
          <w:numId w:val="2"/>
        </w:numPr>
        <w:spacing w:after="40" w:before="40" w:line="320"/>
      </w:pPr>
      <w:r>
        <w:rPr>
          <w:rFonts w:ascii="Arial" w:cs="Arial" w:eastAsia="Arial" w:hAnsi="Arial"/>
          <w:color w:val="0C0D10"/>
          <w:sz w:val="22"/>
          <w:szCs w:val="22"/>
        </w:rPr>
        <w:t xml:space="preserve">For Hard-functional actions (plan change, address update), an in-app authenticated session is required; if the surface is voice-only, JBIQ schedules and tells the user where to complete it.</w:t>
      </w:r>
    </w:p>
    <w:p>
      <w:pPr>
        <w:pStyle w:val="Heading2"/>
        <w:spacing w:after="80" w:before="280"/>
      </w:pPr>
      <w:r>
        <w:rPr>
          <w:rFonts w:ascii="Arial" w:cs="Arial" w:eastAsia="Arial" w:hAnsi="Arial"/>
          <w:b/>
          <w:bCs/>
          <w:color w:val="0C0D10"/>
          <w:sz w:val="26"/>
          <w:szCs w:val="26"/>
        </w:rPr>
        <w:t xml:space="preserve">10.4  Voice-only refusal language</w:t>
      </w:r>
    </w:p>
    <w:p>
      <w:pPr>
        <w:spacing w:after="120" w:before="0" w:line="320"/>
        <w:jc w:val="left"/>
      </w:pPr>
      <w:r>
        <w:rPr>
          <w:rFonts w:ascii="Arial" w:cs="Arial" w:eastAsia="Arial" w:hAnsi="Arial"/>
          <w:b w:val="false"/>
          <w:bCs w:val="false"/>
          <w:i w:val="false"/>
          <w:iCs w:val="false"/>
          <w:color w:val="0C0D10"/>
          <w:sz w:val="22"/>
          <w:szCs w:val="22"/>
        </w:rPr>
        <w:t xml:space="preserve">Voice-only surfaces use a specific refusal pattern when an action cannot complete in voice: "That one needs your UPI app — I've sent a deep-link to your phone; tap there to authorise. Or, when you're next in the JBIQ app, this'll be waiting under JioCare → Pending."</w:t>
      </w:r>
    </w:p>
    <w:p>
      <w:pPr>
        <w:pStyle w:val="Heading1"/>
        <w:spacing w:after="120" w:before="360"/>
      </w:pPr>
      <w:r>
        <w:rPr>
          <w:rFonts w:ascii="Arial" w:cs="Arial" w:eastAsia="Arial" w:hAnsi="Arial"/>
          <w:b/>
          <w:bCs/>
          <w:color w:val="0C0D10"/>
          <w:sz w:val="32"/>
          <w:szCs w:val="32"/>
        </w:rPr>
        <w:t xml:space="preserve">11.  DPDP consent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DPDP consent is a visible product surface, not a settings page. Every flow that requires consent — first identity link, first cross-product data use, first health-domain action, first partner attribution write, mandate setup, sensitive-data classification — surfaces a plain-language consent screen with scope, revocation path, and "why we ask" rationale.</w:t>
            </w:r>
          </w:p>
        </w:tc>
      </w:tr>
    </w:tbl>
    <w:p>
      <w:pPr>
        <w:pStyle w:val="Heading2"/>
        <w:spacing w:after="80" w:before="280"/>
      </w:pPr>
      <w:r>
        <w:rPr>
          <w:rFonts w:ascii="Arial" w:cs="Arial" w:eastAsia="Arial" w:hAnsi="Arial"/>
          <w:b/>
          <w:bCs/>
          <w:color w:val="0C0D10"/>
          <w:sz w:val="26"/>
          <w:szCs w:val="26"/>
        </w:rPr>
        <w:t xml:space="preserve">11.1  Consent UI requirements</w:t>
      </w:r>
    </w:p>
    <w:p>
      <w:pPr>
        <w:pStyle w:val="ListParagraph"/>
        <w:numPr>
          <w:ilvl w:val="0"/>
          <w:numId w:val="2"/>
        </w:numPr>
        <w:spacing w:after="40" w:before="40" w:line="320"/>
      </w:pPr>
      <w:r>
        <w:rPr>
          <w:rFonts w:ascii="Arial" w:cs="Arial" w:eastAsia="Arial" w:hAnsi="Arial"/>
          <w:color w:val="0C0D10"/>
          <w:sz w:val="22"/>
          <w:szCs w:val="22"/>
        </w:rPr>
        <w:t xml:space="preserve">Plain language. No legalese. No "by continuing you agree to…" without specifics.</w:t>
      </w:r>
    </w:p>
    <w:p>
      <w:pPr>
        <w:pStyle w:val="ListParagraph"/>
        <w:numPr>
          <w:ilvl w:val="0"/>
          <w:numId w:val="2"/>
        </w:numPr>
        <w:spacing w:after="40" w:before="40" w:line="320"/>
      </w:pPr>
      <w:r>
        <w:rPr>
          <w:rFonts w:ascii="Arial" w:cs="Arial" w:eastAsia="Arial" w:hAnsi="Arial"/>
          <w:color w:val="0C0D10"/>
          <w:sz w:val="22"/>
          <w:szCs w:val="22"/>
        </w:rPr>
        <w:t xml:space="preserve">Scope — exactly what data, exactly which surfaces, exactly which retention.</w:t>
      </w:r>
    </w:p>
    <w:p>
      <w:pPr>
        <w:pStyle w:val="ListParagraph"/>
        <w:numPr>
          <w:ilvl w:val="0"/>
          <w:numId w:val="2"/>
        </w:numPr>
        <w:spacing w:after="40" w:before="40" w:line="320"/>
      </w:pPr>
      <w:r>
        <w:rPr>
          <w:rFonts w:ascii="Arial" w:cs="Arial" w:eastAsia="Arial" w:hAnsi="Arial"/>
          <w:color w:val="0C0D10"/>
          <w:sz w:val="22"/>
          <w:szCs w:val="22"/>
        </w:rPr>
        <w:t xml:space="preserve">Revocation path — "You can switch this off any time in JioCare → Privacy."</w:t>
      </w:r>
    </w:p>
    <w:p>
      <w:pPr>
        <w:pStyle w:val="ListParagraph"/>
        <w:numPr>
          <w:ilvl w:val="0"/>
          <w:numId w:val="2"/>
        </w:numPr>
        <w:spacing w:after="40" w:before="40" w:line="320"/>
      </w:pPr>
      <w:r>
        <w:rPr>
          <w:rFonts w:ascii="Arial" w:cs="Arial" w:eastAsia="Arial" w:hAnsi="Arial"/>
          <w:color w:val="0C0D10"/>
          <w:sz w:val="22"/>
          <w:szCs w:val="22"/>
        </w:rPr>
        <w:t xml:space="preserve">"Why we ask" — one sentence on the product benefit.</w:t>
      </w:r>
    </w:p>
    <w:p>
      <w:pPr>
        <w:pStyle w:val="ListParagraph"/>
        <w:numPr>
          <w:ilvl w:val="0"/>
          <w:numId w:val="2"/>
        </w:numPr>
        <w:spacing w:after="40" w:before="40" w:line="320"/>
      </w:pPr>
      <w:r>
        <w:rPr>
          <w:rFonts w:ascii="Arial" w:cs="Arial" w:eastAsia="Arial" w:hAnsi="Arial"/>
          <w:color w:val="0C0D10"/>
          <w:sz w:val="22"/>
          <w:szCs w:val="22"/>
        </w:rPr>
        <w:t xml:space="preserve">Visible default — never pre-checked. Always opt-in.</w:t>
      </w:r>
    </w:p>
    <w:p>
      <w:pPr>
        <w:pStyle w:val="ListParagraph"/>
        <w:numPr>
          <w:ilvl w:val="0"/>
          <w:numId w:val="2"/>
        </w:numPr>
        <w:spacing w:after="40" w:before="40" w:line="320"/>
      </w:pPr>
      <w:r>
        <w:rPr>
          <w:rFonts w:ascii="Arial" w:cs="Arial" w:eastAsia="Arial" w:hAnsi="Arial"/>
          <w:color w:val="0C0D10"/>
          <w:sz w:val="22"/>
          <w:szCs w:val="22"/>
        </w:rPr>
        <w:t xml:space="preserve">Localised in every production language (Ch. 6).</w:t>
      </w:r>
    </w:p>
    <w:p>
      <w:pPr>
        <w:pStyle w:val="ListParagraph"/>
        <w:numPr>
          <w:ilvl w:val="0"/>
          <w:numId w:val="2"/>
        </w:numPr>
        <w:spacing w:after="40" w:before="40" w:line="320"/>
      </w:pPr>
      <w:r>
        <w:rPr>
          <w:rFonts w:ascii="Arial" w:cs="Arial" w:eastAsia="Arial" w:hAnsi="Arial"/>
          <w:color w:val="0C0D10"/>
          <w:sz w:val="22"/>
          <w:szCs w:val="22"/>
        </w:rPr>
        <w:t xml:space="preserve">Logged to the Compliance Ledger with consent text, language, timestamp, and user identity (tokenised).</w:t>
      </w:r>
    </w:p>
    <w:p>
      <w:pPr>
        <w:pStyle w:val="Heading2"/>
        <w:spacing w:after="80" w:before="280"/>
      </w:pPr>
      <w:r>
        <w:rPr>
          <w:rFonts w:ascii="Arial" w:cs="Arial" w:eastAsia="Arial" w:hAnsi="Arial"/>
          <w:b/>
          <w:bCs/>
          <w:color w:val="0C0D10"/>
          <w:sz w:val="26"/>
          <w:szCs w:val="26"/>
        </w:rPr>
        <w:t xml:space="preserve">11.2  Consent feels like a feature</w:t>
      </w:r>
    </w:p>
    <w:p>
      <w:pPr>
        <w:spacing w:after="120" w:before="0" w:line="320"/>
        <w:jc w:val="left"/>
      </w:pPr>
      <w:r>
        <w:rPr>
          <w:rFonts w:ascii="Arial" w:cs="Arial" w:eastAsia="Arial" w:hAnsi="Arial"/>
          <w:b w:val="false"/>
          <w:bCs w:val="false"/>
          <w:i w:val="false"/>
          <w:iCs w:val="false"/>
          <w:color w:val="0C0D10"/>
          <w:sz w:val="22"/>
          <w:szCs w:val="22"/>
        </w:rPr>
        <w:t xml:space="preserve">Consent UI is the place users first experience the privacy floor as something the product gives them, not something they navigate around. Visual design (JDS) carries this; the playbook governs the language and the structural placement. Consent is not friction to minimise; it is trust made tangible.</w:t>
      </w:r>
    </w:p>
    <w:p>
      <w:pPr>
        <w:pStyle w:val="Heading2"/>
        <w:spacing w:after="80" w:before="280"/>
      </w:pPr>
      <w:r>
        <w:rPr>
          <w:rFonts w:ascii="Arial" w:cs="Arial" w:eastAsia="Arial" w:hAnsi="Arial"/>
          <w:b/>
          <w:bCs/>
          <w:color w:val="0C0D10"/>
          <w:sz w:val="26"/>
          <w:szCs w:val="26"/>
        </w:rPr>
        <w:t xml:space="preserve">11.3  Per-domain consent gates</w:t>
      </w:r>
    </w:p>
    <w:p>
      <w:pPr>
        <w:spacing w:after="120" w:before="0" w:line="320"/>
        <w:jc w:val="left"/>
      </w:pPr>
      <w:r>
        <w:rPr>
          <w:rFonts w:ascii="Arial" w:cs="Arial" w:eastAsia="Arial" w:hAnsi="Arial"/>
          <w:b w:val="false"/>
          <w:bCs w:val="false"/>
          <w:i w:val="false"/>
          <w:iCs w:val="false"/>
          <w:color w:val="0C0D10"/>
          <w:sz w:val="22"/>
          <w:szCs w:val="22"/>
        </w:rPr>
        <w:t xml:space="preserve">Health, finance, and astrology / devotion each carry their own consent gates. Memory written under one domain does not leak into another (Ch. 7 §10). Consent is per-domain, not global. The user can revoke a domain's consent without revoking JBIQ as a whole.</w:t>
      </w:r>
    </w:p>
    <w:p>
      <w:pPr>
        <w:pStyle w:val="Heading1"/>
        <w:spacing w:after="120" w:before="360"/>
      </w:pPr>
      <w:r>
        <w:rPr>
          <w:rFonts w:ascii="Arial" w:cs="Arial" w:eastAsia="Arial" w:hAnsi="Arial"/>
          <w:b/>
          <w:bCs/>
          <w:color w:val="0C0D10"/>
          <w:sz w:val="32"/>
          <w:szCs w:val="32"/>
        </w:rPr>
        <w:t xml:space="preserve">12.  Worked examples</w:t>
      </w:r>
    </w:p>
    <w:p>
      <w:pPr>
        <w:pStyle w:val="Heading2"/>
        <w:spacing w:after="80" w:before="280"/>
      </w:pPr>
      <w:r>
        <w:rPr>
          <w:rFonts w:ascii="Arial" w:cs="Arial" w:eastAsia="Arial" w:hAnsi="Arial"/>
          <w:b/>
          <w:bCs/>
          <w:color w:val="0C0D10"/>
          <w:sz w:val="26"/>
          <w:szCs w:val="26"/>
        </w:rPr>
        <w:t xml:space="preserve">12.1  Hard-financial commitment, voice + UI</w:t>
      </w:r>
    </w:p>
    <w:p>
      <w:pPr>
        <w:spacing w:after="120" w:before="0" w:line="320"/>
        <w:jc w:val="left"/>
      </w:pPr>
      <w:r>
        <w:rPr>
          <w:rFonts w:ascii="Arial" w:cs="Arial" w:eastAsia="Arial" w:hAnsi="Arial"/>
          <w:b w:val="false"/>
          <w:bCs w:val="false"/>
          <w:i w:val="false"/>
          <w:iCs w:val="false"/>
          <w:color w:val="0C0D10"/>
          <w:sz w:val="22"/>
          <w:szCs w:val="22"/>
        </w:rPr>
        <w:t xml:space="preserve">Intent: "Recharge ₹299 wala."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SEQUENCE</w:t>
            </w:r>
          </w:p>
          <w:p>
            <w:pPr>
              <w:spacing w:after="60" w:line="320"/>
            </w:pPr>
            <w:r>
              <w:rPr>
                <w:rFonts w:ascii="Arial" w:cs="Arial" w:eastAsia="Arial" w:hAnsi="Arial"/>
                <w:color w:val="0C0D10"/>
                <w:sz w:val="22"/>
                <w:szCs w:val="22"/>
              </w:rPr>
              <w:t xml:space="preserve">Voice (PARTIAL_RESULT_SHOWN): "Aapka ₹299 plan — 28 din, 2GB roz. PhonePe UPI se. Aage badhein?"</w:t>
            </w:r>
          </w:p>
          <w:p>
            <w:pPr>
              <w:spacing w:after="60" w:line="320"/>
            </w:pPr>
            <w:r>
              <w:rPr>
                <w:rFonts w:ascii="Arial" w:cs="Arial" w:eastAsia="Arial" w:hAnsi="Arial"/>
                <w:color w:val="0C0D10"/>
                <w:sz w:val="22"/>
                <w:szCs w:val="22"/>
              </w:rPr>
              <w:t xml:space="preserve">On screen (COMMITMENT_REQUIRED): commit card with number, plan, payment method, undo window (30s), reference (TBC), home ("JioCare → My activity").</w:t>
            </w:r>
          </w:p>
          <w:p>
            <w:pPr>
              <w:spacing w:after="60" w:line="320"/>
            </w:pPr>
            <w:r>
              <w:rPr>
                <w:rFonts w:ascii="Arial" w:cs="Arial" w:eastAsia="Arial" w:hAnsi="Arial"/>
                <w:color w:val="0C0D10"/>
                <w:sz w:val="22"/>
                <w:szCs w:val="22"/>
              </w:rPr>
              <w:t xml:space="preserve">User taps [Pay ₹299].</w:t>
            </w:r>
          </w:p>
          <w:p>
            <w:pPr>
              <w:spacing w:after="60" w:line="320"/>
            </w:pPr>
            <w:r>
              <w:rPr>
                <w:rFonts w:ascii="Arial" w:cs="Arial" w:eastAsia="Arial" w:hAnsi="Arial"/>
                <w:color w:val="0C0D10"/>
                <w:sz w:val="22"/>
                <w:szCs w:val="22"/>
              </w:rPr>
              <w:t xml:space="preserve">PhonePe UPI app opens for PIN entry.</w:t>
            </w:r>
          </w:p>
          <w:p>
            <w:pPr>
              <w:spacing w:after="60" w:line="320"/>
            </w:pPr>
            <w:r>
              <w:rPr>
                <w:rFonts w:ascii="Arial" w:cs="Arial" w:eastAsia="Arial" w:hAnsi="Arial"/>
                <w:color w:val="0C0D10"/>
                <w:sz w:val="22"/>
                <w:szCs w:val="22"/>
              </w:rPr>
              <w:t xml:space="preserve">Voice (post-confirm): "Done — ₹299 paid, receipt in JioCare → My activity. Auto-recharge off — want me to set it up?"</w:t>
            </w:r>
          </w:p>
          <w:p>
            <w:pPr>
              <w:spacing w:after="60" w:line="320"/>
            </w:pPr>
            <w:r>
              <w:rPr>
                <w:rFonts w:ascii="Arial" w:cs="Arial" w:eastAsia="Arial" w:hAnsi="Arial"/>
                <w:i/>
                <w:iCs/>
                <w:color w:val="0C0D10"/>
                <w:sz w:val="22"/>
                <w:szCs w:val="22"/>
              </w:rPr>
              <w:t xml:space="preserve">Voice anchored on the commit. Auth happened in the UPI app, never in JBIQ. Receipt is on the home. Optional autonomy step-up is offered, not forced.</w:t>
            </w:r>
          </w:p>
        </w:tc>
      </w:tr>
    </w:tbl>
    <w:p>
      <w:pPr>
        <w:pStyle w:val="Heading2"/>
        <w:spacing w:after="80" w:before="280"/>
      </w:pPr>
      <w:r>
        <w:rPr>
          <w:rFonts w:ascii="Arial" w:cs="Arial" w:eastAsia="Arial" w:hAnsi="Arial"/>
          <w:b/>
          <w:bCs/>
          <w:color w:val="0C0D10"/>
          <w:sz w:val="26"/>
          <w:szCs w:val="26"/>
        </w:rPr>
        <w:t xml:space="preserve">12.2  User volunteers an OTP — gentle decline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SEQUENCE</w:t>
            </w:r>
          </w:p>
          <w:p>
            <w:pPr>
              <w:spacing w:after="60" w:line="320"/>
            </w:pPr>
            <w:r>
              <w:rPr>
                <w:rFonts w:ascii="Arial" w:cs="Arial" w:eastAsia="Arial" w:hAnsi="Arial"/>
                <w:color w:val="0C0D10"/>
                <w:sz w:val="22"/>
                <w:szCs w:val="22"/>
              </w:rPr>
              <w:t xml:space="preserve">User: "My OTP is 482917."</w:t>
            </w:r>
          </w:p>
          <w:p>
            <w:pPr>
              <w:spacing w:after="60" w:line="320"/>
            </w:pPr>
            <w:r>
              <w:rPr>
                <w:rFonts w:ascii="Arial" w:cs="Arial" w:eastAsia="Arial" w:hAnsi="Arial"/>
                <w:color w:val="0C0D10"/>
                <w:sz w:val="22"/>
                <w:szCs w:val="22"/>
              </w:rPr>
              <w:t xml:space="preserve">JBIQ: "Thanks — but please don't send the OTP here. I'll never need it. If someone else asked you to share it, that's a scam pattern — let's pause and tell JioCare. (And just to be safe — don't share that code with anyone right now.)"</w:t>
            </w:r>
          </w:p>
          <w:p>
            <w:pPr>
              <w:spacing w:after="60" w:line="320"/>
            </w:pPr>
            <w:r>
              <w:rPr>
                <w:rFonts w:ascii="Arial" w:cs="Arial" w:eastAsia="Arial" w:hAnsi="Arial"/>
                <w:i/>
                <w:iCs/>
                <w:color w:val="0C0D10"/>
                <w:sz w:val="22"/>
                <w:szCs w:val="22"/>
              </w:rPr>
              <w:t xml:space="preserve">JBIQ does not echo the value. Logs nothing. Offers escalation. The reply itself is in the user's language (translate per Ch. 6).</w:t>
            </w:r>
          </w:p>
        </w:tc>
      </w:tr>
    </w:tbl>
    <w:p>
      <w:pPr>
        <w:pStyle w:val="Heading2"/>
        <w:spacing w:after="80" w:before="280"/>
      </w:pPr>
      <w:r>
        <w:rPr>
          <w:rFonts w:ascii="Arial" w:cs="Arial" w:eastAsia="Arial" w:hAnsi="Arial"/>
          <w:b/>
          <w:bCs/>
          <w:color w:val="0C0D10"/>
          <w:sz w:val="26"/>
          <w:szCs w:val="26"/>
        </w:rPr>
        <w:t xml:space="preserve">12.3  Voice-only surface, Hard-financial — deep-link handoff</w:t>
      </w:r>
    </w:p>
    <w:p>
      <w:pPr>
        <w:spacing w:after="120" w:before="0" w:line="320"/>
        <w:jc w:val="left"/>
      </w:pPr>
      <w:r>
        <w:rPr>
          <w:rFonts w:ascii="Arial" w:cs="Arial" w:eastAsia="Arial" w:hAnsi="Arial"/>
          <w:b w:val="false"/>
          <w:bCs w:val="false"/>
          <w:i w:val="false"/>
          <w:iCs w:val="false"/>
          <w:color w:val="0C0D10"/>
          <w:sz w:val="22"/>
          <w:szCs w:val="22"/>
        </w:rPr>
        <w:t xml:space="preserve">Speaker. Intent: "Pay the electricity bill."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SEQUENCE</w:t>
            </w:r>
          </w:p>
          <w:p>
            <w:pPr>
              <w:spacing w:after="60" w:line="320"/>
            </w:pPr>
            <w:r>
              <w:rPr>
                <w:rFonts w:ascii="Arial" w:cs="Arial" w:eastAsia="Arial" w:hAnsi="Arial"/>
                <w:color w:val="0C0D10"/>
                <w:sz w:val="22"/>
                <w:szCs w:val="22"/>
              </w:rPr>
              <w:t xml:space="preserve">Voice: "Adani Electricity, ₹1,243, due Nov 3. I'll send a one-tap pay link to your phone — tap it to authorise on UPI."</w:t>
            </w:r>
          </w:p>
          <w:p>
            <w:pPr>
              <w:spacing w:after="60" w:line="320"/>
            </w:pPr>
            <w:r>
              <w:rPr>
                <w:rFonts w:ascii="Arial" w:cs="Arial" w:eastAsia="Arial" w:hAnsi="Arial"/>
                <w:color w:val="0C0D10"/>
                <w:sz w:val="22"/>
                <w:szCs w:val="22"/>
              </w:rPr>
              <w:t xml:space="preserve">SMS deep-link arrives on the user's phone.</w:t>
            </w:r>
          </w:p>
          <w:p>
            <w:pPr>
              <w:spacing w:after="60" w:line="320"/>
            </w:pPr>
            <w:r>
              <w:rPr>
                <w:rFonts w:ascii="Arial" w:cs="Arial" w:eastAsia="Arial" w:hAnsi="Arial"/>
                <w:color w:val="0C0D10"/>
                <w:sz w:val="22"/>
                <w:szCs w:val="22"/>
              </w:rPr>
              <w:t xml:space="preserve">User taps; PhonePe opens; PIN entered.</w:t>
            </w:r>
          </w:p>
          <w:p>
            <w:pPr>
              <w:spacing w:after="60" w:line="320"/>
            </w:pPr>
            <w:r>
              <w:rPr>
                <w:rFonts w:ascii="Arial" w:cs="Arial" w:eastAsia="Arial" w:hAnsi="Arial"/>
                <w:color w:val="0C0D10"/>
                <w:sz w:val="22"/>
                <w:szCs w:val="22"/>
              </w:rPr>
              <w:t xml:space="preserve">Voice (post-confirm, via push or pull): "Done — ₹1,243 paid, receipt in JioCare → My activity."</w:t>
            </w:r>
          </w:p>
          <w:p>
            <w:pPr>
              <w:spacing w:after="60" w:line="320"/>
            </w:pPr>
            <w:r>
              <w:rPr>
                <w:rFonts w:ascii="Arial" w:cs="Arial" w:eastAsia="Arial" w:hAnsi="Arial"/>
                <w:i/>
                <w:iCs/>
                <w:color w:val="0C0D10"/>
                <w:sz w:val="22"/>
                <w:szCs w:val="22"/>
              </w:rPr>
              <w:t xml:space="preserve">Voice alone cannot complete the auth. JBIQ hands off cleanly. No PIN spoken aloud, ever.</w:t>
            </w:r>
          </w:p>
        </w:tc>
      </w:tr>
    </w:tbl>
    <w:p>
      <w:pPr>
        <w:pStyle w:val="Heading2"/>
        <w:spacing w:after="80" w:before="280"/>
      </w:pPr>
      <w:r>
        <w:rPr>
          <w:rFonts w:ascii="Arial" w:cs="Arial" w:eastAsia="Arial" w:hAnsi="Arial"/>
          <w:b/>
          <w:bCs/>
          <w:color w:val="0C0D10"/>
          <w:sz w:val="26"/>
          <w:szCs w:val="26"/>
        </w:rPr>
        <w:t xml:space="preserve">12.4  Mandate setup — explicit, separate flow</w:t>
      </w:r>
    </w:p>
    <w:p>
      <w:pPr>
        <w:spacing w:after="120" w:before="0" w:line="320"/>
        <w:jc w:val="left"/>
      </w:pPr>
      <w:r>
        <w:rPr>
          <w:rFonts w:ascii="Arial" w:cs="Arial" w:eastAsia="Arial" w:hAnsi="Arial"/>
          <w:b w:val="false"/>
          <w:bCs w:val="false"/>
          <w:i w:val="false"/>
          <w:iCs w:val="false"/>
          <w:color w:val="0C0D10"/>
          <w:sz w:val="22"/>
          <w:szCs w:val="22"/>
        </w:rPr>
        <w:t xml:space="preserve">User: "Set up auto-pay for my electricity bill."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SEQUENCE</w:t>
            </w:r>
          </w:p>
          <w:p>
            <w:pPr>
              <w:spacing w:after="60" w:line="320"/>
            </w:pPr>
            <w:r>
              <w:rPr>
                <w:rFonts w:ascii="Arial" w:cs="Arial" w:eastAsia="Arial" w:hAnsi="Arial"/>
                <w:color w:val="0C0D10"/>
                <w:sz w:val="22"/>
                <w:szCs w:val="22"/>
              </w:rPr>
              <w:t xml:space="preserve">Voice: "Setting up auto-pay for Adani Electricity needs a mandate — I'll walk you through it on screen."</w:t>
            </w:r>
          </w:p>
          <w:p>
            <w:pPr>
              <w:spacing w:after="60" w:line="320"/>
            </w:pPr>
            <w:r>
              <w:rPr>
                <w:rFonts w:ascii="Arial" w:cs="Arial" w:eastAsia="Arial" w:hAnsi="Arial"/>
                <w:color w:val="0C0D10"/>
                <w:sz w:val="22"/>
                <w:szCs w:val="22"/>
              </w:rPr>
              <w:t xml:space="preserve">Screen — mandate setup: payee (Adani Electricity), amount cap (₹2,500/month), frequency (monthly on the due date), expiry (12 months), revocation path (JioCare → Auto-pay).</w:t>
            </w:r>
          </w:p>
          <w:p>
            <w:pPr>
              <w:spacing w:after="60" w:line="320"/>
            </w:pPr>
            <w:r>
              <w:rPr>
                <w:rFonts w:ascii="Arial" w:cs="Arial" w:eastAsia="Arial" w:hAnsi="Arial"/>
                <w:color w:val="0C0D10"/>
                <w:sz w:val="22"/>
                <w:szCs w:val="22"/>
              </w:rPr>
              <w:t xml:space="preserve">User taps [Authorise mandate]; flow hands off to UPI app for mandate consent.</w:t>
            </w:r>
          </w:p>
          <w:p>
            <w:pPr>
              <w:spacing w:after="60" w:line="320"/>
            </w:pPr>
            <w:r>
              <w:rPr>
                <w:rFonts w:ascii="Arial" w:cs="Arial" w:eastAsia="Arial" w:hAnsi="Arial"/>
                <w:color w:val="0C0D10"/>
                <w:sz w:val="22"/>
                <w:szCs w:val="22"/>
              </w:rPr>
              <w:t xml:space="preserve">Voice (post-setup): "Mandate live — next bill auto-pays Nov 3. You can revoke any time from JioCare → Auto-pay."</w:t>
            </w:r>
          </w:p>
          <w:p>
            <w:pPr>
              <w:spacing w:after="60" w:line="320"/>
            </w:pPr>
            <w:r>
              <w:rPr>
                <w:rFonts w:ascii="Arial" w:cs="Arial" w:eastAsia="Arial" w:hAnsi="Arial"/>
                <w:i/>
                <w:iCs/>
                <w:color w:val="0C0D10"/>
                <w:sz w:val="22"/>
                <w:szCs w:val="22"/>
              </w:rPr>
              <w:t xml:space="preserve">Mandate is never entered conversationally. The legal consent is on the dedicated mandate surface, with explicit cap, frequency, and revocation. The home is named.</w:t>
            </w:r>
          </w:p>
        </w:tc>
      </w:tr>
    </w:tbl>
    <w:p>
      <w:pPr>
        <w:pStyle w:val="Heading2"/>
        <w:spacing w:after="80" w:before="280"/>
      </w:pPr>
      <w:r>
        <w:rPr>
          <w:rFonts w:ascii="Arial" w:cs="Arial" w:eastAsia="Arial" w:hAnsi="Arial"/>
          <w:b/>
          <w:bCs/>
          <w:color w:val="0C0D10"/>
          <w:sz w:val="26"/>
          <w:szCs w:val="26"/>
        </w:rPr>
        <w:t xml:space="preserve">12.5  Compliance Ledger fail-closed</w:t>
      </w:r>
    </w:p>
    <w:p>
      <w:pPr>
        <w:spacing w:after="120" w:before="0" w:line="320"/>
        <w:jc w:val="left"/>
      </w:pPr>
      <w:r>
        <w:rPr>
          <w:rFonts w:ascii="Arial" w:cs="Arial" w:eastAsia="Arial" w:hAnsi="Arial"/>
          <w:b w:val="false"/>
          <w:bCs w:val="false"/>
          <w:i w:val="false"/>
          <w:iCs w:val="false"/>
          <w:color w:val="0C0D10"/>
          <w:sz w:val="22"/>
          <w:szCs w:val="22"/>
        </w:rPr>
        <w:t xml:space="preserve">User tries to pay a bill. Ledger write fails.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w:t>
            </w:r>
          </w:p>
          <w:p>
            <w:pPr>
              <w:spacing w:after="60" w:line="320"/>
            </w:pPr>
            <w:r>
              <w:rPr>
                <w:rFonts w:ascii="Arial" w:cs="Arial" w:eastAsia="Arial" w:hAnsi="Arial"/>
                <w:color w:val="0C0D10"/>
                <w:sz w:val="22"/>
                <w:szCs w:val="22"/>
              </w:rPr>
              <w:t xml:space="preserve">"I can't safely complete this right now — our audit log is offline. Want me to retry in a minute, or set a reminder for later? Nothing's been charged."</w:t>
            </w:r>
          </w:p>
          <w:p>
            <w:pPr>
              <w:spacing w:after="60" w:line="320"/>
            </w:pPr>
            <w:r>
              <w:rPr>
                <w:rFonts w:ascii="Arial" w:cs="Arial" w:eastAsia="Arial" w:hAnsi="Arial"/>
                <w:i/>
                <w:iCs/>
                <w:color w:val="0C0D10"/>
                <w:sz w:val="22"/>
                <w:szCs w:val="22"/>
              </w:rPr>
              <w:t xml:space="preserve">The bill is not paid. No silent retry. The user is told plainly. JBIQ offers two real next steps. Compliance is paged automatically.</w:t>
            </w:r>
          </w:p>
        </w:tc>
      </w:tr>
    </w:tbl>
    <w:p>
      <w:pPr>
        <w:pStyle w:val="Heading1"/>
        <w:spacing w:after="120" w:before="360"/>
      </w:pPr>
      <w:r>
        <w:rPr>
          <w:rFonts w:ascii="Arial" w:cs="Arial" w:eastAsia="Arial" w:hAnsi="Arial"/>
          <w:b/>
          <w:bCs/>
          <w:color w:val="0C0D10"/>
          <w:sz w:val="32"/>
          <w:szCs w:val="32"/>
        </w:rPr>
        <w:t xml:space="preserve">13.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1300"/>
        <w:gridCol w:w="2480"/>
      </w:tblGrid>
      <w:tr>
        <w:trPr>
          <w:tblHeader/>
        </w:trPr>
        <w:tc>
          <w:tcPr>
            <w:tcW w:type="dxa" w:w="2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Zero irreversible actions without explicit commitment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Action-dispatch audit on Hard-functional / Hard-financial events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audit + nightly production audit; mismatch blocks release</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OTP / PIN / Aadhaar / CVV appearance in logs</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Secrets-regex audit on logs, ledger, adapter traces, memory writes</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 Security</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 regex sweep across log and ledger stores; per-release deep audit</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Ledger write success rate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Ledger write success on commitment paths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99.99%</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End-to-end commitment flow telemetry; alarmed at 99.9% threshold</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Auth floor never lowered by confidence or autonomy</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Auth-channel × risk-tier audit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adherence</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Security / Compliance</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audit on synthetic high-confidence Level-3 flows</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never uses commitment language at PARTIAL_RESULT_SHOWN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Commitment-phrase regex × interaction-state filter</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hits in production</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Voice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on voice transcripts × state telemetry, nightly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never completes Hard-financial auth in voice alone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Voice-auth audit on Hard-financial actions</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voice-only auths on Hard-financial</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 Voice</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audit + transcript audit</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 flows separated from conversational commit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Mandate-creation surface audit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via the dedicated flow</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Mandate-event source attribution</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DPDP consent surfaces logged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Per-consent Ledger write count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of consent events captured</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Consent-write event count vs surface-view event count</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Reversibility windows surfaced visibly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Reversibility-surface audit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on Soft / Semi-Auto / Full-Auto actions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surface audit + tap-event telemetry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delete propagation across surfaces (DPDP)</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Time-to-propagate p99 on consent revocation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24h</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Memory team</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propagation telemetry; daily SLO</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Per-domain consent gates honoured</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Cross-domain memory-leak audit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unauthorised events / rolling 30 days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Ledger × domain-boundary check</w:t>
            </w:r>
          </w:p>
        </w:tc>
      </w:tr>
    </w:tbl>
    <w:p>
      <w:pPr>
        <w:pStyle w:val="Heading1"/>
        <w:spacing w:after="120" w:before="360"/>
      </w:pPr>
      <w:r>
        <w:rPr>
          <w:rFonts w:ascii="Arial" w:cs="Arial" w:eastAsia="Arial" w:hAnsi="Arial"/>
          <w:b/>
          <w:bCs/>
          <w:color w:val="0C0D10"/>
          <w:sz w:val="32"/>
          <w:szCs w:val="32"/>
        </w:rPr>
        <w:t xml:space="preserve">14.  Failure modes and escalation</w:t>
      </w:r>
    </w:p>
    <w:p>
      <w:pPr>
        <w:spacing w:after="120" w:before="0" w:line="320"/>
        <w:jc w:val="left"/>
      </w:pPr>
      <w:r>
        <w:rPr>
          <w:rFonts w:ascii="Arial" w:cs="Arial" w:eastAsia="Arial" w:hAnsi="Arial"/>
          <w:b w:val="false"/>
          <w:bCs w:val="false"/>
          <w:i w:val="false"/>
          <w:iCs w:val="false"/>
          <w:color w:val="0C0D10"/>
          <w:sz w:val="22"/>
          <w:szCs w:val="22"/>
        </w:rPr>
        <w:t xml:space="preserve">When any §13 metric breaches its target by more than 10% over a 7-day rolling window, the chapter owner is paged and an incident review opens within 24h. When a Section 2 invariant is violated in production, the affected release is rolled back automatically and a post-incident review opens with Brand, Content, AI, Compliance, and Legal.</w:t>
      </w:r>
    </w:p>
    <w:p>
      <w:pPr>
        <w:pStyle w:val="Heading1"/>
        <w:spacing w:after="120" w:before="360"/>
      </w:pPr>
      <w:r>
        <w:rPr>
          <w:rFonts w:ascii="Arial" w:cs="Arial" w:eastAsia="Arial" w:hAnsi="Arial"/>
          <w:b/>
          <w:bCs/>
          <w:color w:val="0C0D10"/>
          <w:sz w:val="32"/>
          <w:szCs w:val="32"/>
        </w:rPr>
        <w:t xml:space="preserve">15.  Cross-references</w:t>
      </w:r>
    </w:p>
    <w:p>
      <w:pPr>
        <w:pStyle w:val="ListParagraph"/>
        <w:numPr>
          <w:ilvl w:val="0"/>
          <w:numId w:val="2"/>
        </w:numPr>
        <w:spacing w:after="40" w:before="40" w:line="320"/>
      </w:pPr>
      <w:r>
        <w:rPr>
          <w:rFonts w:ascii="Arial" w:cs="Arial" w:eastAsia="Arial" w:hAnsi="Arial"/>
          <w:color w:val="0C0D10"/>
          <w:sz w:val="22"/>
          <w:szCs w:val="22"/>
        </w:rPr>
        <w:t xml:space="preserve">Integrated Modal Experience Model — commitment authority and confirmation hierarchy; this chapter subordinates to it for cross-surface commit semantics.</w:t>
      </w:r>
    </w:p>
    <w:p>
      <w:pPr>
        <w:pStyle w:val="ListParagraph"/>
        <w:numPr>
          <w:ilvl w:val="0"/>
          <w:numId w:val="2"/>
        </w:numPr>
        <w:spacing w:after="40" w:before="40" w:line="320"/>
      </w:pPr>
      <w:r>
        <w:rPr>
          <w:rFonts w:ascii="Arial" w:cs="Arial" w:eastAsia="Arial" w:hAnsi="Arial"/>
          <w:color w:val="0C0D10"/>
          <w:sz w:val="22"/>
          <w:szCs w:val="22"/>
        </w:rPr>
        <w:t xml:space="preserve">DPDP Act 2026 + Compliance Ledger spec — the regulatory floor for §7, §9, §11.</w:t>
      </w:r>
    </w:p>
    <w:p>
      <w:pPr>
        <w:pStyle w:val="ListParagraph"/>
        <w:numPr>
          <w:ilvl w:val="0"/>
          <w:numId w:val="2"/>
        </w:numPr>
        <w:spacing w:after="40" w:before="40" w:line="320"/>
      </w:pPr>
      <w:r>
        <w:rPr>
          <w:rFonts w:ascii="Arial" w:cs="Arial" w:eastAsia="Arial" w:hAnsi="Arial"/>
          <w:color w:val="0C0D10"/>
          <w:sz w:val="22"/>
          <w:szCs w:val="22"/>
        </w:rPr>
        <w:t xml:space="preserve">RBI Voice Payment Guidelines (current) — the regulatory floor for §8.</w:t>
      </w:r>
    </w:p>
    <w:p>
      <w:pPr>
        <w:pStyle w:val="ListParagraph"/>
        <w:numPr>
          <w:ilvl w:val="0"/>
          <w:numId w:val="2"/>
        </w:numPr>
        <w:spacing w:after="40" w:before="40" w:line="320"/>
      </w:pPr>
      <w:r>
        <w:rPr>
          <w:rFonts w:ascii="Arial" w:cs="Arial" w:eastAsia="Arial" w:hAnsi="Arial"/>
          <w:color w:val="0C0D10"/>
          <w:sz w:val="22"/>
          <w:szCs w:val="22"/>
        </w:rPr>
        <w:t xml:space="preserve">Consumer Intelligence GA Operating Goals — Guardrails (FNR &lt; 5%, hard-block FNR = 0%, 99.9% uptime).</w:t>
      </w:r>
    </w:p>
    <w:p>
      <w:pPr>
        <w:pStyle w:val="ListParagraph"/>
        <w:numPr>
          <w:ilvl w:val="0"/>
          <w:numId w:val="2"/>
        </w:numPr>
        <w:spacing w:after="40" w:before="40" w:line="320"/>
      </w:pPr>
      <w:r>
        <w:rPr>
          <w:rFonts w:ascii="Arial" w:cs="Arial" w:eastAsia="Arial" w:hAnsi="Arial"/>
          <w:color w:val="0C0D10"/>
          <w:sz w:val="22"/>
          <w:szCs w:val="22"/>
        </w:rPr>
        <w:t xml:space="preserve">Partner Capability Manifest §4.6 (commitment_level), §4.11 (compliance), §10 (adapter rules) — the partner-side contract this chapter binds.</w:t>
      </w:r>
    </w:p>
    <w:p>
      <w:pPr>
        <w:pStyle w:val="ListParagraph"/>
        <w:numPr>
          <w:ilvl w:val="0"/>
          <w:numId w:val="2"/>
        </w:numPr>
        <w:spacing w:after="40" w:before="40" w:line="320"/>
      </w:pPr>
      <w:r>
        <w:rPr>
          <w:rFonts w:ascii="Arial" w:cs="Arial" w:eastAsia="Arial" w:hAnsi="Arial"/>
          <w:color w:val="0C0D10"/>
          <w:sz w:val="22"/>
          <w:szCs w:val="22"/>
        </w:rPr>
        <w:t xml:space="preserve">Multi-Partner Conflict Resolution Model §11 (commitment authority) — the partner-fulfilled commitment invariant.</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(Invariant 7 — OTP / PIN / Aadhaar / CVV refusal).</w:t>
      </w:r>
    </w:p>
    <w:p>
      <w:pPr>
        <w:pStyle w:val="ListParagraph"/>
        <w:numPr>
          <w:ilvl w:val="0"/>
          <w:numId w:val="2"/>
        </w:numPr>
        <w:spacing w:after="40" w:before="40" w:line="320"/>
      </w:pPr>
      <w:r>
        <w:rPr>
          <w:rFonts w:ascii="Arial" w:cs="Arial" w:eastAsia="Arial" w:hAnsi="Arial"/>
          <w:color w:val="0C0D10"/>
          <w:sz w:val="22"/>
          <w:szCs w:val="22"/>
        </w:rPr>
        <w:t xml:space="preserve">Ch. 2 — Ten conversation principles, especially §5 Always secure and §8 Actions over words.</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(Single-Path commitment, Stateful Query post-commit, Proactive-Triggered claim).</w:t>
      </w:r>
    </w:p>
    <w:p>
      <w:pPr>
        <w:pStyle w:val="ListParagraph"/>
        <w:numPr>
          <w:ilvl w:val="0"/>
          <w:numId w:val="2"/>
        </w:numPr>
        <w:spacing w:after="40" w:before="40" w:line="320"/>
      </w:pPr>
      <w:r>
        <w:rPr>
          <w:rFonts w:ascii="Arial" w:cs="Arial" w:eastAsia="Arial" w:hAnsi="Arial"/>
          <w:color w:val="0C0D10"/>
          <w:sz w:val="22"/>
          <w:szCs w:val="22"/>
        </w:rPr>
        <w:t xml:space="preserve">Ch. 5 — Voice disclosure (no commitment language at PARTIAL_RESULT_SHOWN).</w:t>
      </w:r>
    </w:p>
    <w:p>
      <w:pPr>
        <w:pStyle w:val="ListParagraph"/>
        <w:numPr>
          <w:ilvl w:val="0"/>
          <w:numId w:val="2"/>
        </w:numPr>
        <w:spacing w:after="40" w:before="40" w:line="320"/>
      </w:pPr>
      <w:r>
        <w:rPr>
          <w:rFonts w:ascii="Arial" w:cs="Arial" w:eastAsia="Arial" w:hAnsi="Arial"/>
          <w:color w:val="0C0D10"/>
          <w:sz w:val="22"/>
          <w:szCs w:val="22"/>
        </w:rPr>
        <w:t xml:space="preserve">Ch. 7 — Memory, confidence &amp; autonomy (autonomy never weakens commitment integrity; pre-consent surfaces; reversibility windows).</w:t>
      </w:r>
    </w:p>
    <w:p>
      <w:pPr>
        <w:pStyle w:val="ListParagraph"/>
        <w:numPr>
          <w:ilvl w:val="0"/>
          <w:numId w:val="2"/>
        </w:numPr>
        <w:spacing w:after="40" w:before="40" w:line="320"/>
      </w:pPr>
      <w:r>
        <w:rPr>
          <w:rFonts w:ascii="Arial" w:cs="Arial" w:eastAsia="Arial" w:hAnsi="Arial"/>
          <w:color w:val="0C0D10"/>
          <w:sz w:val="22"/>
          <w:szCs w:val="22"/>
        </w:rPr>
        <w:t xml:space="preserve">Ch. 9 — Failing well (declined transactions and the soft-no pattern).</w:t>
      </w:r>
    </w:p>
    <w:p>
      <w:pPr>
        <w:pStyle w:val="ListParagraph"/>
        <w:numPr>
          <w:ilvl w:val="0"/>
          <w:numId w:val="2"/>
        </w:numPr>
        <w:spacing w:after="40" w:before="40" w:line="320"/>
      </w:pPr>
      <w:r>
        <w:rPr>
          <w:rFonts w:ascii="Arial" w:cs="Arial" w:eastAsia="Arial" w:hAnsi="Arial"/>
          <w:color w:val="0C0D10"/>
          <w:sz w:val="22"/>
          <w:szCs w:val="22"/>
        </w:rPr>
        <w:t xml:space="preserve">Ch. 10 — Multi-modal handoff (voice + UI auth split).</w:t>
      </w:r>
    </w:p>
    <w:p>
      <w:pPr>
        <w:pStyle w:val="ListParagraph"/>
        <w:numPr>
          <w:ilvl w:val="0"/>
          <w:numId w:val="2"/>
        </w:numPr>
        <w:spacing w:after="40" w:before="40" w:line="320"/>
      </w:pPr>
      <w:r>
        <w:rPr>
          <w:rFonts w:ascii="Arial" w:cs="Arial" w:eastAsia="Arial" w:hAnsi="Arial"/>
          <w:color w:val="0C0D10"/>
          <w:sz w:val="22"/>
          <w:szCs w:val="22"/>
        </w:rPr>
        <w:t xml:space="preserve">Ch. 11 — Partner ecosystem (JBIQ owns commitment regardless of which partner fulfils).</w:t>
      </w:r>
    </w:p>
    <w:p>
      <w:pPr>
        <w:pStyle w:val="ListParagraph"/>
        <w:numPr>
          <w:ilvl w:val="0"/>
          <w:numId w:val="2"/>
        </w:numPr>
        <w:spacing w:after="40" w:before="40" w:line="320"/>
      </w:pPr>
      <w:r>
        <w:rPr>
          <w:rFonts w:ascii="Arial" w:cs="Arial" w:eastAsia="Arial" w:hAnsi="Arial"/>
          <w:color w:val="0C0D10"/>
          <w:sz w:val="22"/>
          <w:szCs w:val="22"/>
        </w:rPr>
        <w:t xml:space="preserve">Ch. 12 — Sensitive moments (auth floor and commitment integrity hold; emotional restraint added).</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(the secrets and commitment red lines).</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8. Commitment is where trust is earned or lost. The floor is absolute — secrets never asked, stored, or repeated; irreversible actions never silent; mandates always explicit; ledger always written. Inside that floor, the product can be smart, fast, and trustworthy at once. Outside it, no level of polish anywhere else matters.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8 — Commitment &amp; security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2026-05-19T12:43:12.227Z</dcterms:created>
  <dcterms:modified xsi:type="dcterms:W3CDTF">2026-05-19T12:43:12.227Z</dcterms:modified>
</cp:coreProperties>
</file>

<file path=docProps/custom.xml><?xml version="1.0" encoding="utf-8"?>
<Properties xmlns="http://schemas.openxmlformats.org/officeDocument/2006/custom-properties" xmlns:vt="http://schemas.openxmlformats.org/officeDocument/2006/docPropsVTypes"/>
</file>