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Appendix E</w:t>
      </w:r>
    </w:p>
    <w:p>
      <w:pPr>
        <w:spacing w:after="120"/>
      </w:pPr>
      <w:r>
        <w:rPr>
          <w:rFonts w:ascii="Arial" w:cs="Arial" w:eastAsia="Arial" w:hAnsi="Arial"/>
          <w:b/>
          <w:bCs/>
          <w:color w:val="0C0D10"/>
          <w:sz w:val="44"/>
          <w:szCs w:val="44"/>
        </w:rPr>
        <w:t xml:space="preserve">Strategy Delta — Pre-GA → GA</w:t>
      </w:r>
    </w:p>
    <w:p>
      <w:pPr>
        <w:spacing w:after="360"/>
      </w:pPr>
      <w:r>
        <w:rPr>
          <w:rFonts w:ascii="Arial" w:cs="Arial" w:eastAsia="Arial" w:hAnsi="Arial"/>
          <w:i/>
          <w:iCs/>
          <w:color w:val="55585E"/>
          <w:sz w:val="24"/>
          <w:szCs w:val="24"/>
        </w:rPr>
        <w:t xml:space="preserve">What changed in May 2026 when the Consumer Intelligence GA documents landed, what stays the same,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V0.1</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Strategy delta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Trigger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 Operating Goals (GA), Pod Objectives (GA), Pod Plans (GA), North Star</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bl>
    <w:p>
      <w:r>
        <w:br w:type="page"/>
      </w:r>
    </w:p>
    <w:p>
      <w:pPr>
        <w:pStyle w:val="Heading1"/>
        <w:spacing w:after="120" w:before="360"/>
      </w:pPr>
      <w:r>
        <w:rPr>
          <w:rFonts w:ascii="Arial" w:cs="Arial" w:eastAsia="Arial" w:hAnsi="Arial"/>
          <w:b/>
          <w:bCs/>
          <w:color w:val="0C0D10"/>
          <w:sz w:val="32"/>
          <w:szCs w:val="32"/>
        </w:rPr>
        <w:t xml:space="preserve">0.  Why this appendix exists</w:t>
      </w:r>
    </w:p>
    <w:p>
      <w:pPr>
        <w:spacing w:after="120" w:before="0" w:line="320"/>
      </w:pPr>
      <w:r>
        <w:rPr>
          <w:rFonts w:ascii="Arial" w:cs="Arial" w:eastAsia="Arial" w:hAnsi="Arial"/>
          <w:b w:val="false"/>
          <w:bCs w:val="false"/>
          <w:i w:val="false"/>
          <w:iCs w:val="false"/>
          <w:color w:val="0C0D10"/>
          <w:sz w:val="22"/>
          <w:szCs w:val="22"/>
        </w:rPr>
        <w:t xml:space="preserve">The original Voice Strategy deck (April 2026, post Round-1 field study) argued for narrowing JBIQ from a generalist assistant into a voice-first transactional layer focused on four pillars: Government, Local Services, Recharge &amp; Bills, Order &amp; Buy. It explicitly de-emphasised astrology, devotion, entertainment, cricket, and general Q&amp;A on the basis that those categories had strong incumbents and offered no unique advantage.</w:t>
      </w:r>
    </w:p>
    <w:p>
      <w:pPr>
        <w:spacing w:after="120" w:before="0" w:line="320"/>
      </w:pPr>
      <w:r>
        <w:rPr>
          <w:rFonts w:ascii="Arial" w:cs="Arial" w:eastAsia="Arial" w:hAnsi="Arial"/>
          <w:b w:val="false"/>
          <w:bCs w:val="false"/>
          <w:i w:val="false"/>
          <w:iCs w:val="false"/>
          <w:color w:val="0C0D10"/>
          <w:sz w:val="22"/>
          <w:szCs w:val="22"/>
        </w:rPr>
        <w:t xml:space="preserve">In May 2026 the Consumer Intelligence pod published the GA-level Operating Goals, Pod Objectives, and Pod Plans. These documents commit the org to a different shape of product: JBIQ as India's daily AI Saathi, voice-first and multilingual, spanning health, devotion, entertainment, commerce, jobs, and more — with 15+ signature experiences across 5+ verticals and Daily Engaged Conversations as the north star metric.</w:t>
      </w:r>
    </w:p>
    <w:p>
      <w:pPr>
        <w:spacing w:after="120" w:before="0" w:line="320"/>
      </w:pPr>
      <w:r>
        <w:rPr>
          <w:rFonts w:ascii="Arial" w:cs="Arial" w:eastAsia="Arial" w:hAnsi="Arial"/>
          <w:b w:val="false"/>
          <w:bCs w:val="false"/>
          <w:i w:val="false"/>
          <w:iCs w:val="false"/>
          <w:color w:val="0C0D10"/>
          <w:sz w:val="22"/>
          <w:szCs w:val="22"/>
        </w:rPr>
        <w:t xml:space="preserve">The thesis at the centre of the original deck — narrow to win — is no longer the chosen direction. The org has chosen breadth and quality, on a shared substrate. This appendix exists to make the shift explicit, document what stays and what doesn't, and surface the new tensions the playbook must navigate as a result.</w:t>
      </w:r>
    </w:p>
    <w:p>
      <w:pPr>
        <w:spacing w:after="120" w:before="0" w:line="320"/>
      </w:pPr>
      <w:r>
        <w:rPr>
          <w:rFonts w:ascii="Arial" w:cs="Arial" w:eastAsia="Arial" w:hAnsi="Arial"/>
          <w:b w:val="false"/>
          <w:bCs w:val="false"/>
          <w:i/>
          <w:iCs/>
          <w:color w:val="55585E"/>
          <w:sz w:val="20"/>
          <w:szCs w:val="20"/>
        </w:rPr>
        <w:t xml:space="preserve">It does not replace the Voice Strategy deck or the playbook. It sits alongside both, providing the bridge between pre-GA strategic thinking and post-GA operational reality.</w:t>
      </w:r>
    </w:p>
    <w:p>
      <w:pPr>
        <w:pStyle w:val="Heading1"/>
        <w:spacing w:after="120" w:before="360"/>
      </w:pPr>
      <w:r>
        <w:rPr>
          <w:rFonts w:ascii="Arial" w:cs="Arial" w:eastAsia="Arial" w:hAnsi="Arial"/>
          <w:b/>
          <w:bCs/>
          <w:color w:val="0C0D10"/>
          <w:sz w:val="32"/>
          <w:szCs w:val="32"/>
        </w:rPr>
        <w:t xml:space="preserve">1.  The headline shift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PRE-GA → GA</w:t>
            </w:r>
          </w:p>
          <w:p>
            <w:pPr>
              <w:spacing w:after="60" w:line="320"/>
            </w:pPr>
            <w:r>
              <w:rPr>
                <w:rFonts w:ascii="Arial" w:cs="Arial" w:eastAsia="Arial" w:hAnsi="Arial"/>
                <w:color w:val="0C0D10"/>
                <w:sz w:val="22"/>
                <w:szCs w:val="22"/>
              </w:rPr>
              <w:t xml:space="preserve">Narrow to win  →  Breadth and quality, on a shared substrate.</w:t>
            </w:r>
          </w:p>
          <w:p>
            <w:pPr>
              <w:spacing w:after="60" w:line="320"/>
            </w:pPr>
            <w:r>
              <w:rPr>
                <w:rFonts w:ascii="Arial" w:cs="Arial" w:eastAsia="Arial" w:hAnsi="Arial"/>
                <w:color w:val="0C0D10"/>
                <w:sz w:val="22"/>
                <w:szCs w:val="22"/>
              </w:rPr>
              <w:t xml:space="preserve"/>
            </w:r>
          </w:p>
          <w:p>
            <w:pPr>
              <w:spacing w:after="60" w:line="320"/>
            </w:pPr>
            <w:r>
              <w:rPr>
                <w:rFonts w:ascii="Arial" w:cs="Arial" w:eastAsia="Arial" w:hAnsi="Arial"/>
                <w:color w:val="0C0D10"/>
                <w:sz w:val="22"/>
                <w:szCs w:val="22"/>
              </w:rPr>
              <w:t xml:space="preserve">Task completion as success  →  Daily Engaged Conversations.</w:t>
            </w:r>
          </w:p>
          <w:p>
            <w:pPr>
              <w:spacing w:after="60" w:line="320"/>
            </w:pPr>
            <w:r>
              <w:rPr>
                <w:rFonts w:ascii="Arial" w:cs="Arial" w:eastAsia="Arial" w:hAnsi="Arial"/>
                <w:color w:val="0C0D10"/>
                <w:sz w:val="22"/>
                <w:szCs w:val="22"/>
              </w:rPr>
              <w:t xml:space="preserve"/>
            </w:r>
          </w:p>
          <w:p>
            <w:pPr>
              <w:spacing w:after="60" w:line="320"/>
            </w:pPr>
            <w:r>
              <w:rPr>
                <w:rFonts w:ascii="Arial" w:cs="Arial" w:eastAsia="Arial" w:hAnsi="Arial"/>
                <w:color w:val="0C0D10"/>
                <w:sz w:val="22"/>
                <w:szCs w:val="22"/>
              </w:rPr>
              <w:t xml:space="preserve">Four transactional pillars  →  Five verticals plus Core Experience.</w:t>
            </w:r>
          </w:p>
          <w:p>
            <w:pPr>
              <w:spacing w:after="60" w:line="320"/>
            </w:pPr>
            <w:r>
              <w:rPr>
                <w:rFonts w:ascii="Arial" w:cs="Arial" w:eastAsia="Arial" w:hAnsi="Arial"/>
                <w:color w:val="0C0D10"/>
                <w:sz w:val="22"/>
                <w:szCs w:val="22"/>
              </w:rPr>
              <w:t xml:space="preserve"/>
            </w:r>
          </w:p>
          <w:p>
            <w:pPr>
              <w:spacing w:after="60" w:line="320"/>
            </w:pPr>
            <w:r>
              <w:rPr>
                <w:rFonts w:ascii="Arial" w:cs="Arial" w:eastAsia="Arial" w:hAnsi="Arial"/>
                <w:color w:val="0C0D10"/>
                <w:sz w:val="22"/>
                <w:szCs w:val="22"/>
              </w:rPr>
              <w:t xml:space="preserve">Voice Plan production model  →  Vertical Lift agentic pipeline.</w:t>
            </w:r>
          </w:p>
        </w:tc>
      </w:tr>
    </w:tbl>
    <w:p>
      <w:pPr>
        <w:pStyle w:val="Heading2"/>
        <w:spacing w:after="80" w:before="280"/>
      </w:pPr>
      <w:r>
        <w:rPr>
          <w:rFonts w:ascii="Arial" w:cs="Arial" w:eastAsia="Arial" w:hAnsi="Arial"/>
          <w:b/>
          <w:bCs/>
          <w:color w:val="0C0D10"/>
          <w:sz w:val="26"/>
          <w:szCs w:val="26"/>
        </w:rPr>
        <w:t xml:space="preserve">1.1  What changed at the strategy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1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Dimension</w:t>
            </w:r>
          </w:p>
        </w:tc>
        <w:tc>
          <w:tcPr>
            <w:tcW w:type="dxa" w:w="3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Pre-GA (Voice Plan, April 2026)</w:t>
            </w:r>
          </w:p>
        </w:tc>
        <w:tc>
          <w:tcPr>
            <w:tcW w:type="dxa" w:w="41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GA (May 2026)</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Thesis</w:t>
            </w:r>
          </w:p>
        </w:tc>
        <w:tc>
          <w:tcPr>
            <w:tcW w:type="dxa" w:w="3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Narrow JBIQ to a defensible voice-first transactional layer.</w:t>
            </w:r>
          </w:p>
        </w:tc>
        <w:tc>
          <w:tcPr>
            <w:tcW w:type="dxa" w:w="4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JBIQ as daily AI Saathi — voice-first, multilingual, broad-domain.</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Scope</w:t>
            </w:r>
          </w:p>
        </w:tc>
        <w:tc>
          <w:tcPr>
            <w:tcW w:type="dxa" w:w="3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Government · Local Services · Recharge &amp; Bills · Order &amp; Buy.</w:t>
            </w:r>
          </w:p>
        </w:tc>
        <w:tc>
          <w:tcPr>
            <w:tcW w:type="dxa" w:w="41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Astrology &amp; Devotion · Entertainment &amp; News · Jobs / Careers / Skills · Health &amp; Multimodal · Commerce · plus Core Experience.</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North Star metric</w:t>
            </w:r>
          </w:p>
        </w:tc>
        <w:tc>
          <w:tcPr>
            <w:tcW w:type="dxa" w:w="3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Voice-first task completion.</w:t>
            </w:r>
          </w:p>
        </w:tc>
        <w:tc>
          <w:tcPr>
            <w:tcW w:type="dxa" w:w="4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 Engaged Conversations = DAU × Conversations/User/Day.</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Success</w:t>
            </w:r>
          </w:p>
        </w:tc>
        <w:tc>
          <w:tcPr>
            <w:tcW w:type="dxa" w:w="3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Users completed a task — payment, booking, status check.</w:t>
            </w:r>
          </w:p>
        </w:tc>
        <w:tc>
          <w:tcPr>
            <w:tcW w:type="dxa" w:w="41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Users came back tomorrow. 25%+ DAU/MAU. 40%+ first-session task completion. 80%+ returning-user task completion. No domain below 70% satisfaction.</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De-emphasised list</w:t>
            </w:r>
          </w:p>
        </w:tc>
        <w:tc>
          <w:tcPr>
            <w:tcW w:type="dxa" w:w="3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Bollywood, broad astrology, general Q&amp;A, IPL stats.</w:t>
            </w:r>
          </w:p>
        </w:tc>
        <w:tc>
          <w:tcPr>
            <w:tcW w:type="dxa" w:w="4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None — every domain is in scope at the same quality bar.</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Production model</w:t>
            </w:r>
          </w:p>
        </w:tc>
        <w:tc>
          <w:tcPr>
            <w:tcW w:type="dxa" w:w="3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Phased delivery via UX response + Round-2 research tracks.</w:t>
            </w:r>
          </w:p>
        </w:tc>
        <w:tc>
          <w:tcPr>
            <w:tcW w:type="dxa" w:w="41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Lift agentic pipeline — validated use case to live in 7 days.</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posture</w:t>
            </w:r>
          </w:p>
        </w:tc>
        <w:tc>
          <w:tcPr>
            <w:tcW w:type="dxa" w:w="3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Capability manifest + multi-partner conflict resolution as governance.</w:t>
            </w:r>
          </w:p>
        </w:tc>
        <w:tc>
          <w:tcPr>
            <w:tcW w:type="dxa" w:w="4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Portal moving from advisory to hard-gate at GA. 30-min sandbox-to-skill. 3+ new partners per month.</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Language strategy</w:t>
            </w:r>
          </w:p>
        </w:tc>
        <w:tc>
          <w:tcPr>
            <w:tcW w:type="dxa" w:w="3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Hindi + regional by design, not retrofit.</w:t>
            </w:r>
          </w:p>
        </w:tc>
        <w:tc>
          <w:tcPr>
            <w:tcW w:type="dxa" w:w="41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 Indian languages in production. Each beats benchmark STT by 5%+. Cross-language parity within 10pp.</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Year-1 scale targets</w:t>
            </w:r>
          </w:p>
        </w:tc>
        <w:tc>
          <w:tcPr>
            <w:tcW w:type="dxa" w:w="3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Implicit. The deck was a strategy bet, not a quantified plan.</w:t>
            </w:r>
          </w:p>
        </w:tc>
        <w:tc>
          <w:tcPr>
            <w:tcW w:type="dxa" w:w="41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100M MAU, 10M+ MAU in 90 days, D30 retention 30%+, ₹1,000Cr GMV, NPS 50+.</w:t>
            </w:r>
          </w:p>
        </w:tc>
      </w:tr>
    </w:tbl>
    <w:p>
      <w:pPr>
        <w:pStyle w:val="Heading1"/>
        <w:spacing w:after="120" w:before="360"/>
      </w:pPr>
      <w:r>
        <w:rPr>
          <w:rFonts w:ascii="Arial" w:cs="Arial" w:eastAsia="Arial" w:hAnsi="Arial"/>
          <w:b/>
          <w:bCs/>
          <w:color w:val="0C0D10"/>
          <w:sz w:val="32"/>
          <w:szCs w:val="32"/>
        </w:rPr>
        <w:t xml:space="preserve">2.  Why the org chose breadth</w:t>
      </w:r>
    </w:p>
    <w:p>
      <w:pPr>
        <w:spacing w:after="120" w:before="0" w:line="320"/>
      </w:pPr>
      <w:r>
        <w:rPr>
          <w:rFonts w:ascii="Arial" w:cs="Arial" w:eastAsia="Arial" w:hAnsi="Arial"/>
          <w:b w:val="false"/>
          <w:bCs w:val="false"/>
          <w:i w:val="false"/>
          <w:iCs w:val="false"/>
          <w:color w:val="0C0D10"/>
          <w:sz w:val="22"/>
          <w:szCs w:val="22"/>
        </w:rPr>
        <w:t xml:space="preserve">The narrowing thesis was correct given the evidence in front of it in April. Round-1 field research told us that the voice-first product was not landing, that the always-on mic was breaking the tap-first WhatsApp mental model, and that the eight-category assistant row read as a topic menu rather than a conversation. The deck's response — narrow scope, deepen on transactional moments, lean into Jio's distribution and account moat — was a coherent strategic call.</w:t>
      </w:r>
    </w:p>
    <w:p>
      <w:pPr>
        <w:spacing w:after="120" w:before="0" w:line="320"/>
      </w:pPr>
      <w:r>
        <w:rPr>
          <w:rFonts w:ascii="Arial" w:cs="Arial" w:eastAsia="Arial" w:hAnsi="Arial"/>
          <w:b w:val="false"/>
          <w:bCs w:val="false"/>
          <w:i w:val="false"/>
          <w:iCs w:val="false"/>
          <w:color w:val="0C0D10"/>
          <w:sz w:val="22"/>
          <w:szCs w:val="22"/>
        </w:rPr>
        <w:t xml:space="preserve">The GA documents respond to the same evidence with a different bet. The reasoning, distilled from the GA Pod Objectives:</w:t>
      </w:r>
    </w:p>
    <w:p>
      <w:pPr>
        <w:pStyle w:val="ListParagraph"/>
        <w:numPr>
          <w:ilvl w:val="0"/>
          <w:numId w:val="2"/>
        </w:numPr>
        <w:spacing w:after="40" w:before="40" w:line="320"/>
      </w:pPr>
      <w:r>
        <w:rPr>
          <w:rFonts w:ascii="Arial" w:cs="Arial" w:eastAsia="Arial" w:hAnsi="Arial"/>
          <w:color w:val="0C0D10"/>
          <w:sz w:val="22"/>
          <w:szCs w:val="22"/>
        </w:rPr>
        <w:t xml:space="preserve">The Jio account moat applies across every domain JBIQ touches, not just commerce. JioID, JioPay, JioPhone, telco data, and pre-installation make every vertical defensible — including astrology, devotion, and entertainment, where the incumbents (AstroSage, Hotstar, etc.) do not have Jio-tier distribution.</w:t>
      </w:r>
    </w:p>
    <w:p>
      <w:pPr>
        <w:pStyle w:val="ListParagraph"/>
        <w:numPr>
          <w:ilvl w:val="0"/>
          <w:numId w:val="2"/>
        </w:numPr>
        <w:spacing w:after="40" w:before="40" w:line="320"/>
      </w:pPr>
      <w:r>
        <w:rPr>
          <w:rFonts w:ascii="Arial" w:cs="Arial" w:eastAsia="Arial" w:hAnsi="Arial"/>
          <w:color w:val="0C0D10"/>
          <w:sz w:val="22"/>
          <w:szCs w:val="22"/>
        </w:rPr>
        <w:t xml:space="preserve">Vertical Lift makes breadth tractable. A 7-day cycle from validated use case to live experience changes the calculus on what 'in scope' means. With agentic build, narrowing is no longer the cheapest way to ship quality at speed.</w:t>
      </w:r>
    </w:p>
    <w:p>
      <w:pPr>
        <w:pStyle w:val="ListParagraph"/>
        <w:numPr>
          <w:ilvl w:val="0"/>
          <w:numId w:val="2"/>
        </w:numPr>
        <w:spacing w:after="40" w:before="40" w:line="320"/>
      </w:pPr>
      <w:r>
        <w:rPr>
          <w:rFonts w:ascii="Arial" w:cs="Arial" w:eastAsia="Arial" w:hAnsi="Arial"/>
          <w:color w:val="0C0D10"/>
          <w:sz w:val="22"/>
          <w:szCs w:val="22"/>
        </w:rPr>
        <w:t xml:space="preserve">Daily Engaged Conversations dominates task completion as a leading indicator. A user who returns tomorrow is more valuable than a user who completed today's bill — and breadth (more reasons to come back) drives DEC more reliably than depth in one moment.</w:t>
      </w:r>
    </w:p>
    <w:p>
      <w:pPr>
        <w:pStyle w:val="ListParagraph"/>
        <w:numPr>
          <w:ilvl w:val="0"/>
          <w:numId w:val="2"/>
        </w:numPr>
        <w:spacing w:after="40" w:before="40" w:line="320"/>
      </w:pPr>
      <w:r>
        <w:rPr>
          <w:rFonts w:ascii="Arial" w:cs="Arial" w:eastAsia="Arial" w:hAnsi="Arial"/>
          <w:color w:val="0C0D10"/>
          <w:sz w:val="22"/>
          <w:szCs w:val="22"/>
        </w:rPr>
        <w:t xml:space="preserve">The 100M MAU year-1 commitment requires breadth. No single transactional vertical scales to that within the timeframe. Five verticals, ten partners, and JioID warm-start across pre-installed devices is the only realistic path.</w:t>
      </w:r>
    </w:p>
    <w:p>
      <w:pPr>
        <w:pStyle w:val="ListParagraph"/>
        <w:numPr>
          <w:ilvl w:val="0"/>
          <w:numId w:val="2"/>
        </w:numPr>
        <w:spacing w:after="40" w:before="40" w:line="320"/>
      </w:pPr>
      <w:r>
        <w:rPr>
          <w:rFonts w:ascii="Arial" w:cs="Arial" w:eastAsia="Arial" w:hAnsi="Arial"/>
          <w:color w:val="0C0D10"/>
          <w:sz w:val="22"/>
          <w:szCs w:val="22"/>
        </w:rPr>
        <w:t xml:space="preserve">Quality at breadth is now machine-tractable. Eval coverage, CI/CD gates, prompt-engineering primitives, and the Conversation History Model mean that the 'quality bar across every domain' commitment is enforceable in ways it wasn't a year ago.</w:t>
      </w:r>
    </w:p>
    <w:p>
      <w:pPr>
        <w:spacing w:after="120" w:before="120" w:line="320"/>
      </w:pPr>
      <w:r>
        <w:rPr>
          <w:rFonts w:ascii="Arial" w:cs="Arial" w:eastAsia="Arial" w:hAnsi="Arial"/>
          <w:b w:val="false"/>
          <w:bCs w:val="false"/>
          <w:i w:val="false"/>
          <w:iCs w:val="false"/>
          <w:color w:val="0C0D10"/>
          <w:sz w:val="22"/>
          <w:szCs w:val="22"/>
        </w:rPr>
        <w:t xml:space="preserve">None of this invalidates the Voice Strategy deck's diagnosis of Round-1 user behaviour. The UX response from §6 of the Voice Plan (voice-first home reframe, barge-in, listening signal, long-prompt recovery, mute redesign) is still operative and still needed. It is now in service of a broader product, not a narrower one.</w:t>
      </w:r>
    </w:p>
    <w:p>
      <w:pPr>
        <w:pStyle w:val="Heading1"/>
        <w:spacing w:after="120" w:before="360"/>
      </w:pPr>
      <w:r>
        <w:rPr>
          <w:rFonts w:ascii="Arial" w:cs="Arial" w:eastAsia="Arial" w:hAnsi="Arial"/>
          <w:b/>
          <w:bCs/>
          <w:color w:val="0C0D10"/>
          <w:sz w:val="32"/>
          <w:szCs w:val="32"/>
        </w:rPr>
        <w:t xml:space="preserve">3.  What stays the same</w:t>
      </w:r>
    </w:p>
    <w:p>
      <w:pPr>
        <w:spacing w:after="120" w:before="0" w:line="320"/>
      </w:pPr>
      <w:r>
        <w:rPr>
          <w:rFonts w:ascii="Arial" w:cs="Arial" w:eastAsia="Arial" w:hAnsi="Arial"/>
          <w:b w:val="false"/>
          <w:bCs w:val="false"/>
          <w:i w:val="false"/>
          <w:iCs w:val="false"/>
          <w:color w:val="0C0D10"/>
          <w:sz w:val="22"/>
          <w:szCs w:val="22"/>
        </w:rPr>
        <w:t xml:space="preserve">The strategic shift is real but partial. Substantial parts of the original deck and the entire playbook spine survive intact.</w:t>
      </w:r>
    </w:p>
    <w:p>
      <w:pPr>
        <w:pStyle w:val="Heading2"/>
        <w:spacing w:after="80" w:before="280"/>
      </w:pPr>
      <w:r>
        <w:rPr>
          <w:rFonts w:ascii="Arial" w:cs="Arial" w:eastAsia="Arial" w:hAnsi="Arial"/>
          <w:b/>
          <w:bCs/>
          <w:color w:val="0C0D10"/>
          <w:sz w:val="26"/>
          <w:szCs w:val="26"/>
        </w:rPr>
        <w:t xml:space="preserve">3.1  From the Voice Strategy deck</w:t>
      </w:r>
    </w:p>
    <w:p>
      <w:pPr>
        <w:pStyle w:val="ListParagraph"/>
        <w:numPr>
          <w:ilvl w:val="0"/>
          <w:numId w:val="2"/>
        </w:numPr>
        <w:spacing w:after="40" w:before="40" w:line="320"/>
      </w:pPr>
      <w:r>
        <w:rPr>
          <w:rFonts w:ascii="Arial" w:cs="Arial" w:eastAsia="Arial" w:hAnsi="Arial"/>
          <w:color w:val="0C0D10"/>
          <w:sz w:val="22"/>
          <w:szCs w:val="22"/>
        </w:rPr>
        <w:t xml:space="preserve">The Round-1 UX response. Voice-first home reframe, barge-in over the greeting, listening signal, long-prompt recovery, mute-state cleanup, wave-icon decision — all still required, all still gated by the same Track-A validation rhythm.</w:t>
      </w:r>
    </w:p>
    <w:p>
      <w:pPr>
        <w:pStyle w:val="ListParagraph"/>
        <w:numPr>
          <w:ilvl w:val="0"/>
          <w:numId w:val="2"/>
        </w:numPr>
        <w:spacing w:after="40" w:before="40" w:line="320"/>
      </w:pPr>
      <w:r>
        <w:rPr>
          <w:rFonts w:ascii="Arial" w:cs="Arial" w:eastAsia="Arial" w:hAnsi="Arial"/>
          <w:color w:val="0C0D10"/>
          <w:sz w:val="22"/>
          <w:szCs w:val="22"/>
        </w:rPr>
        <w:t xml:space="preserve">The risk frame. Voice-AI novelty wearing off before utility lands, RBI tightening voice-payment rules, accent and dialect coverage, DPDP and Pegasus-era wariness, commoditisation by Meta AI + Bhashini — all still navigated. GA adds two more (velocity vs validation, breadth vs consistency) but does not remove any.</w:t>
      </w:r>
    </w:p>
    <w:p>
      <w:pPr>
        <w:pStyle w:val="ListParagraph"/>
        <w:numPr>
          <w:ilvl w:val="0"/>
          <w:numId w:val="2"/>
        </w:numPr>
        <w:spacing w:after="40" w:before="40" w:line="320"/>
      </w:pPr>
      <w:r>
        <w:rPr>
          <w:rFonts w:ascii="Arial" w:cs="Arial" w:eastAsia="Arial" w:hAnsi="Arial"/>
          <w:color w:val="0C0D10"/>
          <w:sz w:val="22"/>
          <w:szCs w:val="22"/>
        </w:rPr>
        <w:t xml:space="preserve">The four decisions. Direction of travel · Confirm &amp; Pay as a launch pillar · recruiting model · what 'voice-first' means on the home screen. The first is now decided (breadth + quality), but the other three are still open and still urgent.</w:t>
      </w:r>
    </w:p>
    <w:p>
      <w:pPr>
        <w:pStyle w:val="ListParagraph"/>
        <w:numPr>
          <w:ilvl w:val="0"/>
          <w:numId w:val="2"/>
        </w:numPr>
        <w:spacing w:after="40" w:before="40" w:line="320"/>
      </w:pPr>
      <w:r>
        <w:rPr>
          <w:rFonts w:ascii="Arial" w:cs="Arial" w:eastAsia="Arial" w:hAnsi="Arial"/>
          <w:color w:val="0C0D10"/>
          <w:sz w:val="22"/>
          <w:szCs w:val="22"/>
        </w:rPr>
        <w:t xml:space="preserve">The Jio moat argument. The GA documents lean into it — JioID-driven personalisation, JioPay for commitment, JioPhone for default-on. Pre-GA reasoning still applies; the moat just has more surface to defend.</w:t>
      </w:r>
    </w:p>
    <w:p>
      <w:pPr>
        <w:pStyle w:val="ListParagraph"/>
        <w:numPr>
          <w:ilvl w:val="0"/>
          <w:numId w:val="2"/>
        </w:numPr>
        <w:spacing w:after="40" w:before="40" w:line="320"/>
      </w:pPr>
      <w:r>
        <w:rPr>
          <w:rFonts w:ascii="Arial" w:cs="Arial" w:eastAsia="Arial" w:hAnsi="Arial"/>
          <w:color w:val="0C0D10"/>
          <w:sz w:val="22"/>
          <w:szCs w:val="22"/>
        </w:rPr>
        <w:t xml:space="preserve">The multi-partner orchestration framework. Partner Capability Manifest, the five resolution strategies, ranking signal hierarchy, equity rules — all carry through to the Partner Portal at GA, with the Portal moving from advisory to hard-gate.</w:t>
      </w:r>
    </w:p>
    <w:p>
      <w:pPr>
        <w:pStyle w:val="Heading2"/>
        <w:spacing w:after="80" w:before="280"/>
      </w:pPr>
      <w:r>
        <w:rPr>
          <w:rFonts w:ascii="Arial" w:cs="Arial" w:eastAsia="Arial" w:hAnsi="Arial"/>
          <w:b/>
          <w:bCs/>
          <w:color w:val="0C0D10"/>
          <w:sz w:val="26"/>
          <w:szCs w:val="26"/>
        </w:rPr>
        <w:t xml:space="preserve">3.2  From the Voice Playbook</w:t>
      </w:r>
    </w:p>
    <w:p>
      <w:pPr>
        <w:pStyle w:val="ListParagraph"/>
        <w:numPr>
          <w:ilvl w:val="0"/>
          <w:numId w:val="2"/>
        </w:numPr>
        <w:spacing w:after="40" w:before="40" w:line="320"/>
      </w:pPr>
      <w:r>
        <w:rPr>
          <w:rFonts w:ascii="Arial" w:cs="Arial" w:eastAsia="Arial" w:hAnsi="Arial"/>
          <w:color w:val="0C0D10"/>
          <w:sz w:val="22"/>
          <w:szCs w:val="22"/>
        </w:rPr>
        <w:t xml:space="preserve">Every chapter spine. The 14-chapter structure (Identity, Principles, Reply Rhythm, Response Anatomy, Voice Disclosure, Language, Memory, Commitment, Failing Well, Multi-Modal, Partners, Sensitive, Never-Does, Measurement) holds.</w:t>
      </w:r>
    </w:p>
    <w:p>
      <w:pPr>
        <w:pStyle w:val="ListParagraph"/>
        <w:numPr>
          <w:ilvl w:val="0"/>
          <w:numId w:val="2"/>
        </w:numPr>
        <w:spacing w:after="40" w:before="40" w:line="320"/>
      </w:pPr>
      <w:r>
        <w:rPr>
          <w:rFonts w:ascii="Arial" w:cs="Arial" w:eastAsia="Arial" w:hAnsi="Arial"/>
          <w:color w:val="0C0D10"/>
          <w:sz w:val="22"/>
          <w:szCs w:val="22"/>
        </w:rPr>
        <w:t xml:space="preserve">The conversation principles. The ten principles and the DNA check are unchanged.</w:t>
      </w:r>
    </w:p>
    <w:p>
      <w:pPr>
        <w:pStyle w:val="ListParagraph"/>
        <w:numPr>
          <w:ilvl w:val="0"/>
          <w:numId w:val="2"/>
        </w:numPr>
        <w:spacing w:after="40" w:before="40" w:line="320"/>
      </w:pPr>
      <w:r>
        <w:rPr>
          <w:rFonts w:ascii="Arial" w:cs="Arial" w:eastAsia="Arial" w:hAnsi="Arial"/>
          <w:color w:val="0C0D10"/>
          <w:sz w:val="22"/>
          <w:szCs w:val="22"/>
        </w:rPr>
        <w:t xml:space="preserve">The reply rhythm. Emotion → Answer → Next step → Home applies to every domain.</w:t>
      </w:r>
    </w:p>
    <w:p>
      <w:pPr>
        <w:pStyle w:val="ListParagraph"/>
        <w:numPr>
          <w:ilvl w:val="0"/>
          <w:numId w:val="2"/>
        </w:numPr>
        <w:spacing w:after="40" w:before="40" w:line="320"/>
      </w:pPr>
      <w:r>
        <w:rPr>
          <w:rFonts w:ascii="Arial" w:cs="Arial" w:eastAsia="Arial" w:hAnsi="Arial"/>
          <w:color w:val="0C0D10"/>
          <w:sz w:val="22"/>
          <w:szCs w:val="22"/>
        </w:rPr>
        <w:t xml:space="preserve">The response anatomy. Context Line → Primary Result → Refinement Chips → Edge Affordance applies to every intent shape, in every vertical.</w:t>
      </w:r>
    </w:p>
    <w:p>
      <w:pPr>
        <w:pStyle w:val="ListParagraph"/>
        <w:numPr>
          <w:ilvl w:val="0"/>
          <w:numId w:val="2"/>
        </w:numPr>
        <w:spacing w:after="40" w:before="40" w:line="320"/>
      </w:pPr>
      <w:r>
        <w:rPr>
          <w:rFonts w:ascii="Arial" w:cs="Arial" w:eastAsia="Arial" w:hAnsi="Arial"/>
          <w:color w:val="0C0D10"/>
          <w:sz w:val="22"/>
          <w:szCs w:val="22"/>
        </w:rPr>
        <w:t xml:space="preserve">The voice four-beat. Outcome → Anchor → Shape → Pivot governs transactional voice disclosure in every domain.</w:t>
      </w:r>
    </w:p>
    <w:p>
      <w:pPr>
        <w:pStyle w:val="ListParagraph"/>
        <w:numPr>
          <w:ilvl w:val="0"/>
          <w:numId w:val="2"/>
        </w:numPr>
        <w:spacing w:after="40" w:before="40" w:line="320"/>
      </w:pPr>
      <w:r>
        <w:rPr>
          <w:rFonts w:ascii="Arial" w:cs="Arial" w:eastAsia="Arial" w:hAnsi="Arial"/>
          <w:color w:val="0C0D10"/>
          <w:sz w:val="22"/>
          <w:szCs w:val="22"/>
        </w:rPr>
        <w:t xml:space="preserve">Language and cultural fluency. 22-language support, code-switching rules, festival recognition — all aligned with GA's 12+ languages in production at parity.</w:t>
      </w:r>
    </w:p>
    <w:p>
      <w:pPr>
        <w:pStyle w:val="ListParagraph"/>
        <w:numPr>
          <w:ilvl w:val="0"/>
          <w:numId w:val="2"/>
        </w:numPr>
        <w:spacing w:after="40" w:before="40" w:line="320"/>
      </w:pPr>
      <w:r>
        <w:rPr>
          <w:rFonts w:ascii="Arial" w:cs="Arial" w:eastAsia="Arial" w:hAnsi="Arial"/>
          <w:color w:val="0C0D10"/>
          <w:sz w:val="22"/>
          <w:szCs w:val="22"/>
        </w:rPr>
        <w:t xml:space="preserve">Memory, commitment, security, failing well, sensitive moments, forbidden phrases. All operate identically pre-GA and post-GA.</w:t>
      </w:r>
    </w:p>
    <w:p>
      <w:pPr>
        <w:pStyle w:val="Heading1"/>
        <w:spacing w:after="120" w:before="360"/>
      </w:pPr>
      <w:r>
        <w:rPr>
          <w:rFonts w:ascii="Arial" w:cs="Arial" w:eastAsia="Arial" w:hAnsi="Arial"/>
          <w:b/>
          <w:bCs/>
          <w:color w:val="0C0D10"/>
          <w:sz w:val="32"/>
          <w:szCs w:val="32"/>
        </w:rPr>
        <w:t xml:space="preserve">4.  What the playbook needs to change</w:t>
      </w:r>
    </w:p>
    <w:p>
      <w:pPr>
        <w:spacing w:after="120" w:before="0" w:line="320"/>
      </w:pPr>
      <w:r>
        <w:rPr>
          <w:rFonts w:ascii="Arial" w:cs="Arial" w:eastAsia="Arial" w:hAnsi="Arial"/>
          <w:b w:val="false"/>
          <w:bCs w:val="false"/>
          <w:i w:val="false"/>
          <w:iCs w:val="false"/>
          <w:color w:val="0C0D10"/>
          <w:sz w:val="22"/>
          <w:szCs w:val="22"/>
        </w:rPr>
        <w:t xml:space="preserve">Five concrete adjustments. Each addresses something GA introduces or sharpens that the pre-GA playbook either did not cover or only covered in passing. The adjustments are listed in priority order.</w:t>
      </w:r>
    </w:p>
    <w:p>
      <w:pPr>
        <w:pStyle w:val="Heading2"/>
        <w:spacing w:after="80" w:before="280"/>
      </w:pPr>
      <w:r>
        <w:rPr>
          <w:rFonts w:ascii="Arial" w:cs="Arial" w:eastAsia="Arial" w:hAnsi="Arial"/>
          <w:b/>
          <w:bCs/>
          <w:color w:val="0C0D10"/>
          <w:sz w:val="26"/>
          <w:szCs w:val="26"/>
        </w:rPr>
        <w:t xml:space="preserve">4.1  Reframe the playbook intro</w:t>
      </w:r>
    </w:p>
    <w:p>
      <w:pPr>
        <w:spacing w:after="120" w:before="0" w:line="320"/>
      </w:pPr>
      <w:r>
        <w:rPr>
          <w:rFonts w:ascii="Arial" w:cs="Arial" w:eastAsia="Arial" w:hAnsi="Arial"/>
          <w:b w:val="false"/>
          <w:bCs w:val="false"/>
          <w:i w:val="false"/>
          <w:iCs w:val="false"/>
          <w:color w:val="0C0D10"/>
          <w:sz w:val="22"/>
          <w:szCs w:val="22"/>
        </w:rPr>
        <w:t xml:space="preserve">Replace 'voice-first transactional layer for India' with 'India's daily AI Saathi — voice-first, multilingual, default-on across Jio devices'. Voice-first is the modality; it is not a scope claim. The playbook governs every interaction across every vertical.</w:t>
      </w:r>
    </w:p>
    <w:p>
      <w:pPr>
        <w:pStyle w:val="Heading2"/>
        <w:spacing w:after="80" w:before="280"/>
      </w:pPr>
      <w:r>
        <w:rPr>
          <w:rFonts w:ascii="Arial" w:cs="Arial" w:eastAsia="Arial" w:hAnsi="Arial"/>
          <w:b/>
          <w:bCs/>
          <w:color w:val="0C0D10"/>
          <w:sz w:val="26"/>
          <w:szCs w:val="26"/>
        </w:rPr>
        <w:t xml:space="preserve">4.2  Map Chapter 14 (Measurement) to GA goals</w:t>
      </w:r>
    </w:p>
    <w:p>
      <w:pPr>
        <w:spacing w:after="120" w:before="0" w:line="320"/>
      </w:pPr>
      <w:r>
        <w:rPr>
          <w:rFonts w:ascii="Arial" w:cs="Arial" w:eastAsia="Arial" w:hAnsi="Arial"/>
          <w:b w:val="false"/>
          <w:bCs w:val="false"/>
          <w:i w:val="false"/>
          <w:iCs w:val="false"/>
          <w:color w:val="0C0D10"/>
          <w:sz w:val="22"/>
          <w:szCs w:val="22"/>
        </w:rPr>
        <w:t xml:space="preserve">The current Ch. 14 metrics are plausible but generic. GA gives us instrumented targets. The new metrics ladder up to:</w:t>
      </w:r>
    </w:p>
    <w:p>
      <w:pPr>
        <w:pStyle w:val="ListParagraph"/>
        <w:numPr>
          <w:ilvl w:val="0"/>
          <w:numId w:val="2"/>
        </w:numPr>
        <w:spacing w:after="40" w:before="40" w:line="320"/>
      </w:pPr>
      <w:r>
        <w:rPr>
          <w:rFonts w:ascii="Arial" w:cs="Arial" w:eastAsia="Arial" w:hAnsi="Arial"/>
          <w:color w:val="0C0D10"/>
          <w:sz w:val="22"/>
          <w:szCs w:val="22"/>
        </w:rPr>
        <w:t xml:space="preserve">Daily Engaged Conversations as the north star.</w:t>
      </w:r>
    </w:p>
    <w:p>
      <w:pPr>
        <w:pStyle w:val="ListParagraph"/>
        <w:numPr>
          <w:ilvl w:val="0"/>
          <w:numId w:val="2"/>
        </w:numPr>
        <w:spacing w:after="40" w:before="40" w:line="320"/>
      </w:pPr>
      <w:r>
        <w:rPr>
          <w:rFonts w:ascii="Arial" w:cs="Arial" w:eastAsia="Arial" w:hAnsi="Arial"/>
          <w:color w:val="0C0D10"/>
          <w:sz w:val="22"/>
          <w:szCs w:val="22"/>
        </w:rPr>
        <w:t xml:space="preserve">DAU / MAU ≥ 25%, D30 retention ≥ 30%, D7 organic return ≥ 40% per signature experience.</w:t>
      </w:r>
    </w:p>
    <w:p>
      <w:pPr>
        <w:pStyle w:val="ListParagraph"/>
        <w:numPr>
          <w:ilvl w:val="0"/>
          <w:numId w:val="2"/>
        </w:numPr>
        <w:spacing w:after="40" w:before="40" w:line="320"/>
      </w:pPr>
      <w:r>
        <w:rPr>
          <w:rFonts w:ascii="Arial" w:cs="Arial" w:eastAsia="Arial" w:hAnsi="Arial"/>
          <w:color w:val="0C0D10"/>
          <w:sz w:val="22"/>
          <w:szCs w:val="22"/>
        </w:rPr>
        <w:t xml:space="preserve">Satisfaction floors per domain (no domain below 70%, overall ≥ 80%).</w:t>
      </w:r>
    </w:p>
    <w:p>
      <w:pPr>
        <w:pStyle w:val="ListParagraph"/>
        <w:numPr>
          <w:ilvl w:val="0"/>
          <w:numId w:val="2"/>
        </w:numPr>
        <w:spacing w:after="40" w:before="40" w:line="320"/>
      </w:pPr>
      <w:r>
        <w:rPr>
          <w:rFonts w:ascii="Arial" w:cs="Arial" w:eastAsia="Arial" w:hAnsi="Arial"/>
          <w:color w:val="0C0D10"/>
          <w:sz w:val="22"/>
          <w:szCs w:val="22"/>
        </w:rPr>
        <w:t xml:space="preserve">Cross-language parity within 10pp, STT beating benchmark by 5%+ per language.</w:t>
      </w:r>
    </w:p>
    <w:p>
      <w:pPr>
        <w:pStyle w:val="ListParagraph"/>
        <w:numPr>
          <w:ilvl w:val="0"/>
          <w:numId w:val="2"/>
        </w:numPr>
        <w:spacing w:after="40" w:before="40" w:line="320"/>
      </w:pPr>
      <w:r>
        <w:rPr>
          <w:rFonts w:ascii="Arial" w:cs="Arial" w:eastAsia="Arial" w:hAnsi="Arial"/>
          <w:color w:val="0C0D10"/>
          <w:sz w:val="22"/>
          <w:szCs w:val="22"/>
        </w:rPr>
        <w:t xml:space="preserve">Voice latency — p50 ≤ 2.5s simple → ≤ 15s multi-skill; chat p50 ≤ 1.5s → ≤ 10s.</w:t>
      </w:r>
    </w:p>
    <w:p>
      <w:pPr>
        <w:pStyle w:val="ListParagraph"/>
        <w:numPr>
          <w:ilvl w:val="0"/>
          <w:numId w:val="2"/>
        </w:numPr>
        <w:spacing w:after="40" w:before="40" w:line="320"/>
      </w:pPr>
      <w:r>
        <w:rPr>
          <w:rFonts w:ascii="Arial" w:cs="Arial" w:eastAsia="Arial" w:hAnsi="Arial"/>
          <w:color w:val="0C0D10"/>
          <w:sz w:val="22"/>
          <w:szCs w:val="22"/>
        </w:rPr>
        <w:t xml:space="preserve">Cost per query ≤ ₹0.05.</w:t>
      </w:r>
    </w:p>
    <w:p>
      <w:pPr>
        <w:pStyle w:val="ListParagraph"/>
        <w:numPr>
          <w:ilvl w:val="0"/>
          <w:numId w:val="2"/>
        </w:numPr>
        <w:spacing w:after="40" w:before="40" w:line="320"/>
      </w:pPr>
      <w:r>
        <w:rPr>
          <w:rFonts w:ascii="Arial" w:cs="Arial" w:eastAsia="Arial" w:hAnsi="Arial"/>
          <w:color w:val="0C0D10"/>
          <w:sz w:val="22"/>
          <w:szCs w:val="22"/>
        </w:rPr>
        <w:t xml:space="preserve">Quality eval pass rate ≥ 99%, stable at 100K+ concurrent.</w:t>
      </w:r>
    </w:p>
    <w:p>
      <w:pPr>
        <w:pStyle w:val="ListParagraph"/>
        <w:numPr>
          <w:ilvl w:val="0"/>
          <w:numId w:val="2"/>
        </w:numPr>
        <w:spacing w:after="40" w:before="40" w:line="320"/>
      </w:pPr>
      <w:r>
        <w:rPr>
          <w:rFonts w:ascii="Arial" w:cs="Arial" w:eastAsia="Arial" w:hAnsi="Arial"/>
          <w:color w:val="0C0D10"/>
          <w:sz w:val="22"/>
          <w:szCs w:val="22"/>
        </w:rPr>
        <w:t xml:space="preserve">Guardrail FNR &lt; 5% per category; hard-block FNR = 0%; FPR &lt; 2%; 99.9% uptime.</w:t>
      </w:r>
    </w:p>
    <w:p>
      <w:pPr>
        <w:spacing w:after="120" w:before="80" w:line="320"/>
      </w:pPr>
      <w:r>
        <w:rPr>
          <w:rFonts w:ascii="Arial" w:cs="Arial" w:eastAsia="Arial" w:hAnsi="Arial"/>
          <w:b w:val="false"/>
          <w:bCs w:val="false"/>
          <w:i w:val="false"/>
          <w:iCs w:val="false"/>
          <w:color w:val="0C0D10"/>
          <w:sz w:val="22"/>
          <w:szCs w:val="22"/>
        </w:rPr>
        <w:t xml:space="preserve">Acceptance criteria across every chapter ladder to these targets. The QA regression suite executes against these on every model deploy.</w:t>
      </w:r>
    </w:p>
    <w:p>
      <w:pPr>
        <w:pStyle w:val="Heading2"/>
        <w:spacing w:after="80" w:before="280"/>
      </w:pPr>
      <w:r>
        <w:rPr>
          <w:rFonts w:ascii="Arial" w:cs="Arial" w:eastAsia="Arial" w:hAnsi="Arial"/>
          <w:b/>
          <w:bCs/>
          <w:color w:val="0C0D10"/>
          <w:sz w:val="26"/>
          <w:szCs w:val="26"/>
        </w:rPr>
        <w:t xml:space="preserve">4.3  Add a Chapter 5 sub-section for cinematic voice experiences</w:t>
      </w:r>
    </w:p>
    <w:p>
      <w:pPr>
        <w:spacing w:after="120" w:before="0" w:line="320"/>
      </w:pPr>
      <w:r>
        <w:rPr>
          <w:rFonts w:ascii="Arial" w:cs="Arial" w:eastAsia="Arial" w:hAnsi="Arial"/>
          <w:b w:val="false"/>
          <w:bCs w:val="false"/>
          <w:i w:val="false"/>
          <w:iCs w:val="false"/>
          <w:color w:val="0C0D10"/>
          <w:sz w:val="22"/>
          <w:szCs w:val="22"/>
        </w:rPr>
        <w:t xml:space="preserve">The voice four-beat (Outcome → Anchor → Shape → Pivot) is built for transactional disclosure — flight search, recharge confirmation, bill status. GA introduces a different shape of voice surface: cinematic, multi-minute, persona-driven audio experiences. Grand Kundali Reveal is explicitly described as a 'cinematic voice-first walkthrough'. AI Anchor Daily Brief and AI Jockey are persona-driven audio experiences with memory-aware behaviour. Cricket Match Companion is a second-screen overlay with live commentary in multiple languages.</w:t>
      </w:r>
    </w:p>
    <w:p>
      <w:pPr>
        <w:spacing w:after="120" w:before="0" w:line="320"/>
      </w:pPr>
      <w:r>
        <w:rPr>
          <w:rFonts w:ascii="Arial" w:cs="Arial" w:eastAsia="Arial" w:hAnsi="Arial"/>
          <w:b w:val="false"/>
          <w:bCs w:val="false"/>
          <w:i w:val="false"/>
          <w:iCs w:val="false"/>
          <w:color w:val="0C0D10"/>
          <w:sz w:val="22"/>
          <w:szCs w:val="22"/>
        </w:rPr>
        <w:t xml:space="preserve">These are not transactional intents and the four-beat does not govern them. The playbook needs a parallel pattern that addresses pacing, prosody per content type, persona consistency, listener attention modelling, and the rules for when these experiences interrupt vs invite vs go quiet.</w:t>
      </w:r>
    </w:p>
    <w:p>
      <w:pPr>
        <w:pStyle w:val="Heading2"/>
        <w:spacing w:after="80" w:before="280"/>
      </w:pPr>
      <w:r>
        <w:rPr>
          <w:rFonts w:ascii="Arial" w:cs="Arial" w:eastAsia="Arial" w:hAnsi="Arial"/>
          <w:b/>
          <w:bCs/>
          <w:color w:val="0C0D10"/>
          <w:sz w:val="26"/>
          <w:szCs w:val="26"/>
        </w:rPr>
        <w:t xml:space="preserve">4.4  Add a Chapter 11 sub-section for Vertical Lift</w:t>
      </w:r>
    </w:p>
    <w:p>
      <w:pPr>
        <w:spacing w:after="120" w:before="0" w:line="320"/>
      </w:pPr>
      <w:r>
        <w:rPr>
          <w:rFonts w:ascii="Arial" w:cs="Arial" w:eastAsia="Arial" w:hAnsi="Arial"/>
          <w:b w:val="false"/>
          <w:bCs w:val="false"/>
          <w:i w:val="false"/>
          <w:iCs w:val="false"/>
          <w:color w:val="0C0D10"/>
          <w:sz w:val="22"/>
          <w:szCs w:val="22"/>
        </w:rPr>
        <w:t xml:space="preserve">The Partner Capability Manifest governs partner-built skills. Vertical Lift governs internal verticals built agentically against playbook primitives. The new sub-section needs to cover: what primitives the playbook authors hand to agents, what agents can vs cannot instantiate, what the design SLA is across the 7-day cycle, how UXR validation reconciles with the velocity, and how the lifecycle home picks up newly-shipped signature experiences.</w:t>
      </w:r>
    </w:p>
    <w:p>
      <w:pPr>
        <w:pStyle w:val="Heading2"/>
        <w:spacing w:after="80" w:before="280"/>
      </w:pPr>
      <w:r>
        <w:rPr>
          <w:rFonts w:ascii="Arial" w:cs="Arial" w:eastAsia="Arial" w:hAnsi="Arial"/>
          <w:b/>
          <w:bCs/>
          <w:color w:val="0C0D10"/>
          <w:sz w:val="26"/>
          <w:szCs w:val="26"/>
        </w:rPr>
        <w:t xml:space="preserve">4.5  Strengthen Chapter 13 (What JBIQ never does)</w:t>
      </w:r>
    </w:p>
    <w:p>
      <w:pPr>
        <w:spacing w:after="120" w:before="0" w:line="320"/>
      </w:pPr>
      <w:r>
        <w:rPr>
          <w:rFonts w:ascii="Arial" w:cs="Arial" w:eastAsia="Arial" w:hAnsi="Arial"/>
          <w:b w:val="false"/>
          <w:bCs w:val="false"/>
          <w:i w:val="false"/>
          <w:iCs w:val="false"/>
          <w:color w:val="0C0D10"/>
          <w:sz w:val="22"/>
          <w:szCs w:val="22"/>
        </w:rPr>
        <w:t xml:space="preserve">GA adds first-class guardrails the pre-GA playbook covered only in passing:</w:t>
      </w:r>
    </w:p>
    <w:p>
      <w:pPr>
        <w:pStyle w:val="ListParagraph"/>
        <w:numPr>
          <w:ilvl w:val="0"/>
          <w:numId w:val="2"/>
        </w:numPr>
        <w:spacing w:after="40" w:before="40" w:line="320"/>
      </w:pPr>
      <w:r>
        <w:rPr>
          <w:rFonts w:ascii="Arial" w:cs="Arial" w:eastAsia="Arial" w:hAnsi="Arial"/>
          <w:color w:val="0C0D10"/>
          <w:sz w:val="22"/>
          <w:szCs w:val="22"/>
        </w:rPr>
        <w:t xml:space="preserve">Memory view, edit, delete is user-owned with 24h cross-surface propagation. Never resurface deleted memories.</w:t>
      </w:r>
    </w:p>
    <w:p>
      <w:pPr>
        <w:pStyle w:val="ListParagraph"/>
        <w:numPr>
          <w:ilvl w:val="0"/>
          <w:numId w:val="2"/>
        </w:numPr>
        <w:spacing w:after="40" w:before="40" w:line="320"/>
      </w:pPr>
      <w:r>
        <w:rPr>
          <w:rFonts w:ascii="Arial" w:cs="Arial" w:eastAsia="Arial" w:hAnsi="Arial"/>
          <w:color w:val="0C0D10"/>
          <w:sz w:val="22"/>
          <w:szCs w:val="22"/>
        </w:rPr>
        <w:t xml:space="preserve">DPDP consent flows are visible by requirement and must feel like a feature, not a tax.</w:t>
      </w:r>
    </w:p>
    <w:p>
      <w:pPr>
        <w:pStyle w:val="ListParagraph"/>
        <w:numPr>
          <w:ilvl w:val="0"/>
          <w:numId w:val="2"/>
        </w:numPr>
        <w:spacing w:after="40" w:before="40" w:line="320"/>
      </w:pPr>
      <w:r>
        <w:rPr>
          <w:rFonts w:ascii="Arial" w:cs="Arial" w:eastAsia="Arial" w:hAnsi="Arial"/>
          <w:color w:val="0C0D10"/>
          <w:sz w:val="22"/>
          <w:szCs w:val="22"/>
        </w:rPr>
        <w:t xml:space="preserve">Fact-checker verdicts must be sourced. Never surface an unsourced claim in voice or chat.</w:t>
      </w:r>
    </w:p>
    <w:p>
      <w:pPr>
        <w:pStyle w:val="ListParagraph"/>
        <w:numPr>
          <w:ilvl w:val="0"/>
          <w:numId w:val="2"/>
        </w:numPr>
        <w:spacing w:after="40" w:before="40" w:line="320"/>
      </w:pPr>
      <w:r>
        <w:rPr>
          <w:rFonts w:ascii="Arial" w:cs="Arial" w:eastAsia="Arial" w:hAnsi="Arial"/>
          <w:color w:val="0C0D10"/>
          <w:sz w:val="22"/>
          <w:szCs w:val="22"/>
        </w:rPr>
        <w:t xml:space="preserve">Irreversible-action consent is hardened — auth floors do not lower under confidence or autonomy.</w:t>
      </w:r>
    </w:p>
    <w:p>
      <w:pPr>
        <w:pStyle w:val="ListParagraph"/>
        <w:numPr>
          <w:ilvl w:val="0"/>
          <w:numId w:val="2"/>
        </w:numPr>
        <w:spacing w:after="40" w:before="40" w:line="320"/>
      </w:pPr>
      <w:r>
        <w:rPr>
          <w:rFonts w:ascii="Arial" w:cs="Arial" w:eastAsia="Arial" w:hAnsi="Arial"/>
          <w:color w:val="0C0D10"/>
          <w:sz w:val="22"/>
          <w:szCs w:val="22"/>
        </w:rPr>
        <w:t xml:space="preserve">Guardrails fail-closed on hard blocks. The product refuses softly, in language, without leaking policy detail.</w:t>
      </w:r>
    </w:p>
    <w:p>
      <w:pPr>
        <w:pStyle w:val="Heading1"/>
        <w:spacing w:after="120" w:before="360"/>
      </w:pPr>
      <w:r>
        <w:rPr>
          <w:rFonts w:ascii="Arial" w:cs="Arial" w:eastAsia="Arial" w:hAnsi="Arial"/>
          <w:b/>
          <w:bCs/>
          <w:color w:val="0C0D10"/>
          <w:sz w:val="32"/>
          <w:szCs w:val="32"/>
        </w:rPr>
        <w:t xml:space="preserve">5.  New tensions the playbook must navigate</w:t>
      </w:r>
    </w:p>
    <w:p>
      <w:pPr>
        <w:spacing w:after="120" w:before="0" w:line="320"/>
      </w:pPr>
      <w:r>
        <w:rPr>
          <w:rFonts w:ascii="Arial" w:cs="Arial" w:eastAsia="Arial" w:hAnsi="Arial"/>
          <w:b w:val="false"/>
          <w:bCs w:val="false"/>
          <w:i w:val="false"/>
          <w:iCs w:val="false"/>
          <w:color w:val="0C0D10"/>
          <w:sz w:val="22"/>
          <w:szCs w:val="22"/>
        </w:rPr>
        <w:t xml:space="preserve">Beyond the strategic shift, GA introduces six structural tensions the playbook will need to govern. The original Voice Plan's risks remain in play; these are additions.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6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Tension</w:t>
            </w:r>
          </w:p>
        </w:tc>
        <w:tc>
          <w:tcPr>
            <w:tcW w:type="dxa" w:w="4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What it means</w:t>
            </w:r>
          </w:p>
        </w:tc>
        <w:tc>
          <w:tcPr>
            <w:tcW w:type="dxa" w:w="36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Where the playbook governs</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Velocity vs validation</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7-day Vertical Lift cycle clashes with UXR ≥ 2 weeks pre-ship for 90% of signature experiences.</w:t>
            </w:r>
          </w:p>
        </w:tc>
        <w:tc>
          <w:tcPr>
            <w:tcW w:type="dxa" w:w="3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14 acceptance criteria specify which validation classes are pre-ship gates vs iterative loops.</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Breadth vs consistency</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15 signature experiences across 5 verticals, each 'structurally unreplicable', risks brand erosion.</w:t>
            </w:r>
          </w:p>
        </w:tc>
        <w:tc>
          <w:tcPr>
            <w:tcW w:type="dxa" w:w="3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 (Identity) and Ch. 11 (Vertical Lift primitives) ensure shared craft. Ch. 14 measures cross-surface consistency.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Voice-first vs visual-rich</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TTS, barge-in, latency holds (transactional voice) and Grand Kundali Reveal cinematic walkthroughs (rich voice) coexist.</w:t>
            </w:r>
          </w:p>
        </w:tc>
        <w:tc>
          <w:tcPr>
            <w:tcW w:type="dxa" w:w="3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5 grows a cinematic voice sub-section parallel to the four-beat.</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Bharat accessibility vs feature richness</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90%+ tier-2 / tier-3 usability with zero English dependency — even in English Learning and sourced Fact Checker.</w:t>
            </w:r>
          </w:p>
        </w:tc>
        <w:tc>
          <w:tcPr>
            <w:tcW w:type="dxa" w:w="3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6 (Language) widens the zero-English audit. Ch. 14 measures usability pass rate by tier.</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 UI vs frictionless UX</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view / edit / delete, DPDP consent, irreversible-action consent visible by requirement.</w:t>
            </w:r>
          </w:p>
        </w:tc>
        <w:tc>
          <w:tcPr>
            <w:tcW w:type="dxa" w:w="3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7 (Memory), Ch. 8 (Commitment), Ch. 13 (Never does) co-govern.</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Pre-loaded personalisation vs creepiness</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70%+ of new users arrive with rich profile. First session must feel known, not watched.</w:t>
            </w:r>
          </w:p>
        </w:tc>
        <w:tc>
          <w:tcPr>
            <w:tcW w:type="dxa" w:w="36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7 (surface inference, never hide it) and Ch. 12 (sensitive moments — drop the inferred warmth).</w:t>
            </w:r>
          </w:p>
        </w:tc>
      </w:tr>
    </w:tbl>
    <w:p>
      <w:pPr>
        <w:pStyle w:val="Heading1"/>
        <w:spacing w:after="120" w:before="360"/>
      </w:pPr>
      <w:r>
        <w:rPr>
          <w:rFonts w:ascii="Arial" w:cs="Arial" w:eastAsia="Arial" w:hAnsi="Arial"/>
          <w:b/>
          <w:bCs/>
          <w:color w:val="0C0D10"/>
          <w:sz w:val="32"/>
          <w:szCs w:val="32"/>
        </w:rPr>
        <w:t xml:space="preserve">6.  Decision log</w:t>
      </w:r>
    </w:p>
    <w:p>
      <w:pPr>
        <w:spacing w:after="120" w:before="0" w:line="320"/>
      </w:pPr>
      <w:r>
        <w:rPr>
          <w:rFonts w:ascii="Arial" w:cs="Arial" w:eastAsia="Arial" w:hAnsi="Arial"/>
          <w:b w:val="false"/>
          <w:bCs w:val="false"/>
          <w:i w:val="false"/>
          <w:iCs w:val="false"/>
          <w:color w:val="0C0D10"/>
          <w:sz w:val="22"/>
          <w:szCs w:val="22"/>
        </w:rPr>
        <w:t xml:space="preserve">Decisions taken at the moment of writing this delta, to lock the playbook to GA reality.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4980"/>
      </w:tblGrid>
      <w:tr>
        <w:trPr>
          <w:tblHeader/>
        </w:trPr>
        <w:tc>
          <w:tcPr>
            <w:tcW w:type="dxa" w:w="3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Decision</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Status</w:t>
            </w:r>
          </w:p>
        </w:tc>
        <w:tc>
          <w:tcPr>
            <w:tcW w:type="dxa" w:w="49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Rationale</w:t>
            </w:r>
          </w:p>
        </w:tc>
      </w:tr>
      <w:tr>
        <w:tc>
          <w:tcPr>
            <w:tcW w:type="dxa" w:w="3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Adopt 'India's daily AI Saathi' as the playbook framing.</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Mirrors GA documents. Replaces 'voice-first transactional layer'.</w:t>
            </w:r>
          </w:p>
        </w:tc>
      </w:tr>
      <w:tr>
        <w:tc>
          <w:tcPr>
            <w:tcW w:type="dxa" w:w="3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Strategy (April 2026) deck retired as historical context.</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Replaced by Voice Strategy (GA) deck. April deck preserved for archival reference.</w:t>
            </w:r>
          </w:p>
        </w:tc>
      </w:tr>
      <w:tr>
        <w:tc>
          <w:tcPr>
            <w:tcW w:type="dxa" w:w="3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 adopted as primary success metric in Ch. 14.</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Operating Goal 04. Task completion now a secondary metric, not the north star.</w:t>
            </w:r>
          </w:p>
        </w:tc>
      </w:tr>
      <w:tr>
        <w:tc>
          <w:tcPr>
            <w:tcW w:type="dxa" w:w="3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Five verticals + Core Experience replace the four-pillar framing.</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Astrology &amp; Devotion · Entertainment &amp; News · Jobs/Careers/Skills · Health &amp; Multimodal · Commerce · Core.</w:t>
            </w:r>
          </w:p>
        </w:tc>
      </w:tr>
      <w:tr>
        <w:tc>
          <w:tcPr>
            <w:tcW w:type="dxa" w:w="3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Lift formalised as a Ch. 11 sub-section.</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Agentic build pipeline is now a production reality, not a hypothetical.</w:t>
            </w:r>
          </w:p>
        </w:tc>
      </w:tr>
      <w:tr>
        <w:tc>
          <w:tcPr>
            <w:tcW w:type="dxa" w:w="3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voice experiences get a parallel Ch. 5 sub-section.</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Grand Kundali Reveal, AI Anchor, AI Jockey, Cricket Companion are not transactional intents.</w:t>
            </w:r>
          </w:p>
        </w:tc>
      </w:tr>
      <w:tr>
        <w:tc>
          <w:tcPr>
            <w:tcW w:type="dxa" w:w="3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DPDP consent UI, memory view/edit/delete, sourced verdicts upgraded to first-class invariants.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legal commitment + GTM trust bar.</w:t>
            </w:r>
          </w:p>
        </w:tc>
      </w:tr>
      <w:tr>
        <w:tc>
          <w:tcPr>
            <w:tcW w:type="dxa" w:w="3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Six new tensions added to Ch. 0 of the playbook.</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Locked</w:t>
            </w:r>
          </w:p>
        </w:tc>
        <w:tc>
          <w:tcPr>
            <w:tcW w:type="dxa" w:w="49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Velocity / breadth / voice-rich / Bharat-rich / trust / creepiness.</w:t>
            </w:r>
          </w:p>
        </w:tc>
      </w:tr>
    </w:tbl>
    <w:p>
      <w:pPr>
        <w:pStyle w:val="Heading1"/>
        <w:spacing w:after="120" w:before="360"/>
      </w:pPr>
      <w:r>
        <w:rPr>
          <w:rFonts w:ascii="Arial" w:cs="Arial" w:eastAsia="Arial" w:hAnsi="Arial"/>
          <w:b/>
          <w:bCs/>
          <w:color w:val="0C0D10"/>
          <w:sz w:val="32"/>
          <w:szCs w:val="32"/>
        </w:rPr>
        <w:t xml:space="preserve">7.  What this means by chapter</w:t>
      </w:r>
    </w:p>
    <w:p>
      <w:pPr>
        <w:spacing w:after="120" w:before="0" w:line="320"/>
      </w:pPr>
      <w:r>
        <w:rPr>
          <w:rFonts w:ascii="Arial" w:cs="Arial" w:eastAsia="Arial" w:hAnsi="Arial"/>
          <w:b w:val="false"/>
          <w:bCs w:val="false"/>
          <w:i w:val="false"/>
          <w:iCs w:val="false"/>
          <w:color w:val="0C0D10"/>
          <w:sz w:val="22"/>
          <w:szCs w:val="22"/>
        </w:rPr>
        <w:t xml:space="preserve">A chapter-by-chapter summary of where the GA documents land. 'No change' means the chapter spine, prose direction, and acceptance criteria are unaffected. 'Reframe' means the chapter's framing language updates. 'New sub-section' means substantive new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5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Chapter</w:t>
            </w:r>
          </w:p>
        </w:tc>
        <w:tc>
          <w:tcPr>
            <w:tcW w:type="dxa" w:w="1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GA impact</w:t>
            </w:r>
          </w:p>
        </w:tc>
        <w:tc>
          <w:tcPr>
            <w:tcW w:type="dxa" w:w="55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pPr>
              <w:spacing w:after="0" w:before="0" w:line="280"/>
            </w:pPr>
            <w:r>
              <w:rPr>
                <w:rFonts w:ascii="Arial" w:cs="Arial" w:eastAsia="Arial" w:hAnsi="Arial"/>
                <w:b/>
                <w:bCs/>
                <w:color w:val="FFFFFF"/>
                <w:sz w:val="20"/>
                <w:szCs w:val="20"/>
              </w:rPr>
              <w:t xml:space="preserve">Notes</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 — Identity &amp; voice DNA</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Intro paragraph swaps 'transactional layer' for 'daily AI Saathi'. §10 metrics align to GA satisfaction floors and language parity. Otherwise unchanged.</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2 — Ten principles</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change</w:t>
            </w:r>
          </w:p>
        </w:tc>
        <w:tc>
          <w:tcPr>
            <w:tcW w:type="dxa" w:w="5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Conversation principles operate across every domain GA scopes.</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3 — The reply rhythm</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change</w:t>
            </w:r>
          </w:p>
        </w:tc>
        <w:tc>
          <w:tcPr>
            <w:tcW w:type="dxa" w:w="5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 → Answer → Next step → Home holds.</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4 — Response shapes &amp; anatomy</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change</w:t>
            </w:r>
          </w:p>
        </w:tc>
        <w:tc>
          <w:tcPr>
            <w:tcW w:type="dxa" w:w="5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Five intent shapes still cover every reply class.</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5 — Voice disclosure</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New sub-section</w:t>
            </w:r>
          </w:p>
        </w:tc>
        <w:tc>
          <w:tcPr>
            <w:tcW w:type="dxa" w:w="5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voice experiences (Grand Kundali Reveal, AI Anchor, AI Jockey, Cricket Companion) get a parallel pattern alongside the four-beat.</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6 — Language &amp; cultural fluency</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Aligned to GA's 12+ languages in production at parity. Zero-English audit becomes a deliverable, not a polish pass.</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7 — Memory, confidence &amp; autonomy</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Day-0 warm start with 70%+ of new users having rich profile becomes the design baseline. 'Thin-profile' fallback explicit.</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8 — Commitment &amp; security</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DPDP-first framing, auth floors hardened by GA legal commitments. Consent UI upgraded from chapter mention to first-class invariant.</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9 — Failing well</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 FNR / FPR / uptime targets baked into acceptance criteria. Sourced refusals (never leak policy detail) made explicit.</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10 — Multi-modal handoff</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Cricket Companion second-screen, Live Darshan WA share-cards, Fact Checker shareable verdicts become canonical examples.</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11 — Partner ecosystem</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New sub-section</w:t>
            </w:r>
          </w:p>
        </w:tc>
        <w:tc>
          <w:tcPr>
            <w:tcW w:type="dxa" w:w="5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Vertical Lift formalised. Partner Portal moves from advisory to hard-gate with 30-min sandbox-to-skill and 5-min visibility.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12 — Sensitive moments</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change</w:t>
            </w:r>
          </w:p>
        </w:tc>
        <w:tc>
          <w:tcPr>
            <w:tcW w:type="dxa" w:w="5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Inversion rules apply across every domain identically.</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13 — What JBIQ never does</w:t>
            </w:r>
          </w:p>
        </w:tc>
        <w:tc>
          <w:tcPr>
            <w:tcW w:type="dxa" w:w="1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GA-mandated guardrails (memory ops, DPDP consent, sourcing, fail-closed refusals) elevated to first-class.</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14 — Measurement, QA &amp; governance</w:t>
            </w:r>
          </w:p>
        </w:tc>
        <w:tc>
          <w:tcPr>
            <w:tcW w:type="dxa" w:w="1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Reframe</w:t>
            </w:r>
          </w:p>
        </w:tc>
        <w:tc>
          <w:tcPr>
            <w:tcW w:type="dxa" w:w="55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Metrics map 1:1 to GA org goals 03, 04, 05, 06, 07. Acceptance ladders to DEC, DAU/MAU, D30, satisfaction floors, language parity.</w:t>
            </w:r>
          </w:p>
        </w:tc>
      </w:tr>
    </w:tbl>
    <w:p>
      <w:pPr>
        <w:pBdr>
          <w:bottom w:val="single" w:color="DCDCDD" w:sz="6" w:space="1"/>
        </w:pBdr>
        <w:spacing w:after="160" w:before="60"/>
      </w:pPr>
      <w:r>
        <w:t xml:space="preserve"/>
      </w:r>
    </w:p>
    <w:p>
      <w:pPr>
        <w:spacing w:after="120" w:before="200" w:line="320"/>
      </w:pPr>
      <w:r>
        <w:rPr>
          <w:rFonts w:ascii="Arial" w:cs="Arial" w:eastAsia="Arial" w:hAnsi="Arial"/>
          <w:b w:val="false"/>
          <w:bCs w:val="false"/>
          <w:i/>
          <w:iCs/>
          <w:color w:val="55585E"/>
          <w:sz w:val="20"/>
          <w:szCs w:val="20"/>
        </w:rPr>
        <w:t xml:space="preserve">The strategic centre of gravity moves from 'narrow to win' to 'breadth and quality, on a shared substrate'. The playbook is the shared substrate — and is now more important than it was pre-GA, because every additional vertical, every additional partner, every additional agent-instantiated experience inherits the rules in it. The bar for primitives, acceptance criteria, and cross-surface consistency rises accordingly.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Strategy Delta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2026-05-19T08:26:56.345Z</dcterms:created>
  <dcterms:modified xsi:type="dcterms:W3CDTF">2026-05-19T08:26:56.348Z</dcterms:modified>
</cp:coreProperties>
</file>

<file path=docProps/custom.xml><?xml version="1.0" encoding="utf-8"?>
<Properties xmlns="http://schemas.openxmlformats.org/officeDocument/2006/custom-properties" xmlns:vt="http://schemas.openxmlformats.org/officeDocument/2006/docPropsVTypes"/>
</file>