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1A1A"/>
          <w:sz w:val="44"/>
          <w:szCs w:val="44"/>
        </w:rPr>
        <w:t xml:space="preserve">JBIQ — Strategy, Research &amp; UX Plan</w:t>
      </w:r>
    </w:p>
    <w:p>
      <w:pPr>
        <w:spacing w:after="80"/>
      </w:pPr>
      <w:r>
        <w:rPr>
          <w:rFonts w:ascii="Arial" w:cs="Arial" w:eastAsia="Arial" w:hAnsi="Arial"/>
          <w:i/>
          <w:iCs/>
          <w:color w:val="5A5A5A"/>
          <w:sz w:val="20"/>
          <w:szCs w:val="20"/>
        </w:rPr>
        <w:t xml:space="preserve">Post Round‑1 field study · For team alignment · 24 April 2026</w:t>
      </w:r>
    </w:p>
    <w:p>
      <w:pPr>
        <w:pBdr>
          <w:bottom w:val="single" w:color="CCCCCC" w:sz="6" w:space="8"/>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17CE" w:sz="12"/>
              <w:left w:val="single" w:color="EFE7FA" w:sz="4"/>
              <w:bottom w:val="single" w:color="EFE7FA" w:sz="4"/>
              <w:right w:val="single" w:color="EFE7FA" w:sz="4"/>
            </w:tcBorders>
            <w:shd w:fill="EFE7FA" w:val="clear"/>
            <w:tcMar>
              <w:top w:type="dxa" w:w="160"/>
              <w:left w:type="dxa" w:w="200"/>
              <w:bottom w:type="dxa" w:w="160"/>
              <w:right w:type="dxa" w:w="200"/>
            </w:tcMar>
          </w:tcPr>
          <w:p>
            <w:pPr>
              <w:spacing w:after="60"/>
            </w:pPr>
            <w:r>
              <w:rPr>
                <w:rFonts w:ascii="Arial" w:cs="Arial" w:eastAsia="Arial" w:hAnsi="Arial"/>
                <w:b/>
                <w:bCs/>
                <w:color w:val="6D17CE"/>
                <w:sz w:val="20"/>
                <w:szCs w:val="20"/>
              </w:rPr>
              <w:t xml:space="preserve">What we're asking the team to align on</w:t>
            </w:r>
          </w:p>
          <w:p>
            <w:r>
              <w:rPr>
                <w:rFonts w:ascii="Arial" w:cs="Arial" w:eastAsia="Arial" w:hAnsi="Arial"/>
                <w:color w:val="1A1A1A"/>
                <w:sz w:val="22"/>
                <w:szCs w:val="22"/>
              </w:rPr>
              <w:t xml:space="preserve">A strategic narrowing of JBIQ's scope, and the Round‑2 research plan that will test it. By the end of this plan we should have an evidence‑backed answer to where this product wins in India.</w:t>
            </w:r>
          </w:p>
        </w:tc>
      </w:tr>
    </w:tbl>
    <w:p>
      <w:pPr>
        <w:spacing w:after="120"/>
      </w:pPr>
      <w:r>
        <w:rPr>
          <w:rFonts w:ascii="Arial" w:cs="Arial" w:eastAsia="Arial" w:hAnsi="Arial"/>
          <w:color w:val="1A1A1A"/>
          <w:sz w:val="22"/>
          <w:szCs w:val="22"/>
        </w:rPr>
        <w:t xml:space="preserve"/>
      </w:r>
    </w:p>
    <w:p>
      <w:pPr>
        <w:pStyle w:val="Heading1"/>
        <w:spacing w:after="160" w:before="360"/>
      </w:pPr>
      <w:r>
        <w:rPr>
          <w:rFonts w:ascii="Arial" w:cs="Arial" w:eastAsia="Arial" w:hAnsi="Arial"/>
          <w:b/>
          <w:bCs/>
          <w:color w:val="1A1A1A"/>
          <w:sz w:val="34"/>
          <w:szCs w:val="34"/>
        </w:rPr>
        <w:t xml:space="preserve">1. Executive summary</w:t>
      </w:r>
    </w:p>
    <w:p>
      <w:pPr>
        <w:spacing w:after="120"/>
      </w:pPr>
      <w:r>
        <w:rPr>
          <w:rFonts w:ascii="Arial" w:cs="Arial" w:eastAsia="Arial" w:hAnsi="Arial"/>
          <w:color w:val="1A1A1A"/>
          <w:sz w:val="22"/>
          <w:szCs w:val="22"/>
        </w:rPr>
        <w:t xml:space="preserve">Round‑1 field research told us two things very clearly: the voice‑first nature of the product is not landing for first‑time users, and the always‑on mic is breaking the WhatsApp tap‑first mental model that everyone arrives with. The work we shipped this week addressed parts of that — mute is now legible, voice‑activity detection is solid, the Speak CTA is on the home screen — but the deeper question is bigger than the UI.</w:t>
      </w:r>
    </w:p>
    <w:p>
      <w:pPr>
        <w:spacing w:after="120"/>
      </w:pPr>
      <w:r>
        <w:rPr>
          <w:rFonts w:ascii="Arial" w:cs="Arial" w:eastAsia="Arial" w:hAnsi="Arial"/>
          <w:color w:val="1A1A1A"/>
          <w:sz w:val="22"/>
          <w:szCs w:val="22"/>
        </w:rPr>
        <w:t xml:space="preserve">The deeper question is whether JBIQ is trying to be a generalist voice assistant or a narrow, defensible voice‑first transactional layer for India. </w:t>
      </w:r>
      <w:r>
        <w:rPr>
          <w:rFonts w:ascii="Arial" w:cs="Arial" w:eastAsia="Arial" w:hAnsi="Arial"/>
          <w:b/>
          <w:bCs/>
          <w:color w:val="1A1A1A"/>
          <w:sz w:val="22"/>
          <w:szCs w:val="22"/>
        </w:rPr>
        <w:t xml:space="preserve">Our recommendation is the narrow bet, </w:t>
      </w:r>
      <w:r>
        <w:rPr>
          <w:rFonts w:ascii="Arial" w:cs="Arial" w:eastAsia="Arial" w:hAnsi="Arial"/>
          <w:color w:val="1A1A1A"/>
          <w:sz w:val="22"/>
          <w:szCs w:val="22"/>
        </w:rPr>
        <w:t xml:space="preserve">and this plan is built around testing it in Round 2 rather than guessing.</w:t>
      </w:r>
    </w:p>
    <w:p>
      <w:pPr>
        <w:pStyle w:val="Heading1"/>
        <w:spacing w:after="160" w:before="360"/>
      </w:pPr>
      <w:r>
        <w:rPr>
          <w:rFonts w:ascii="Arial" w:cs="Arial" w:eastAsia="Arial" w:hAnsi="Arial"/>
          <w:b/>
          <w:bCs/>
          <w:color w:val="1A1A1A"/>
          <w:sz w:val="34"/>
          <w:szCs w:val="34"/>
        </w:rPr>
        <w:t xml:space="preserve">2. Where we are after Round 1</w:t>
      </w:r>
    </w:p>
    <w:p>
      <w:pPr>
        <w:pStyle w:val="Heading2"/>
        <w:spacing w:after="120" w:before="280"/>
      </w:pPr>
      <w:r>
        <w:rPr>
          <w:rFonts w:ascii="Arial" w:cs="Arial" w:eastAsia="Arial" w:hAnsi="Arial"/>
          <w:b/>
          <w:bCs/>
          <w:color w:val="1A1A1A"/>
          <w:sz w:val="26"/>
          <w:szCs w:val="26"/>
        </w:rPr>
        <w:t xml:space="preserve">What Round 1 told us</w:t>
      </w:r>
    </w:p>
    <w:p>
      <w:pPr>
        <w:pStyle w:val="ListParagraph"/>
        <w:numPr>
          <w:ilvl w:val="0"/>
          <w:numId w:val="2"/>
        </w:numPr>
        <w:spacing w:after="80"/>
      </w:pPr>
      <w:r>
        <w:rPr>
          <w:rFonts w:ascii="Arial" w:cs="Arial" w:eastAsia="Arial" w:hAnsi="Arial"/>
          <w:color w:val="1A1A1A"/>
          <w:sz w:val="22"/>
          <w:szCs w:val="22"/>
        </w:rPr>
        <w:t xml:space="preserve">Users don't recognise JBIQ as a voice‑first product. The petal/Speak target is invisible until pointed out.</w:t>
      </w:r>
    </w:p>
    <w:p>
      <w:pPr>
        <w:pStyle w:val="ListParagraph"/>
        <w:numPr>
          <w:ilvl w:val="0"/>
          <w:numId w:val="2"/>
        </w:numPr>
        <w:spacing w:after="80"/>
      </w:pPr>
      <w:r>
        <w:rPr>
          <w:rFonts w:ascii="Arial" w:cs="Arial" w:eastAsia="Arial" w:hAnsi="Arial"/>
          <w:color w:val="1A1A1A"/>
          <w:sz w:val="22"/>
          <w:szCs w:val="22"/>
        </w:rPr>
        <w:t xml:space="preserve">Every participant arrived with a tap‑first mental model from WhatsApp. The always‑on mic feels invisible, not frictionless.</w:t>
      </w:r>
    </w:p>
    <w:p>
      <w:pPr>
        <w:pStyle w:val="ListParagraph"/>
        <w:numPr>
          <w:ilvl w:val="0"/>
          <w:numId w:val="2"/>
        </w:numPr>
        <w:spacing w:after="80"/>
      </w:pPr>
      <w:r>
        <w:rPr>
          <w:rFonts w:ascii="Arial" w:cs="Arial" w:eastAsia="Arial" w:hAnsi="Arial"/>
          <w:color w:val="1A1A1A"/>
          <w:sz w:val="22"/>
          <w:szCs w:val="22"/>
        </w:rPr>
        <w:t xml:space="preserve">The mute state looked identical to the listening state, which broke trust for privacy‑conscious users.</w:t>
      </w:r>
    </w:p>
    <w:p>
      <w:pPr>
        <w:pStyle w:val="ListParagraph"/>
        <w:numPr>
          <w:ilvl w:val="0"/>
          <w:numId w:val="2"/>
        </w:numPr>
        <w:spacing w:after="80"/>
      </w:pPr>
      <w:r>
        <w:rPr>
          <w:rFonts w:ascii="Arial" w:cs="Arial" w:eastAsia="Arial" w:hAnsi="Arial"/>
          <w:color w:val="1A1A1A"/>
          <w:sz w:val="22"/>
          <w:szCs w:val="22"/>
        </w:rPr>
        <w:t xml:space="preserve">Speaking over the welcome greeting drops input and makes users feel they did something wrong — the worst possible first interaction.</w:t>
      </w:r>
    </w:p>
    <w:p>
      <w:pPr>
        <w:pStyle w:val="ListParagraph"/>
        <w:numPr>
          <w:ilvl w:val="0"/>
          <w:numId w:val="2"/>
        </w:numPr>
        <w:spacing w:after="80"/>
      </w:pPr>
      <w:r>
        <w:rPr>
          <w:rFonts w:ascii="Arial" w:cs="Arial" w:eastAsia="Arial" w:hAnsi="Arial"/>
          <w:color w:val="1A1A1A"/>
          <w:sz w:val="22"/>
          <w:szCs w:val="22"/>
        </w:rPr>
        <w:t xml:space="preserve">Live transcription is doing three different jobs for three user types and isn't designed for any of them. Long prompts lost on incoming calls is the single most painful described moment.</w:t>
      </w:r>
    </w:p>
    <w:p>
      <w:pPr>
        <w:pStyle w:val="ListParagraph"/>
        <w:numPr>
          <w:ilvl w:val="0"/>
          <w:numId w:val="2"/>
        </w:numPr>
        <w:spacing w:after="80"/>
      </w:pPr>
      <w:r>
        <w:rPr>
          <w:rFonts w:ascii="Arial" w:cs="Arial" w:eastAsia="Arial" w:hAnsi="Arial"/>
          <w:color w:val="1A1A1A"/>
          <w:sz w:val="22"/>
          <w:szCs w:val="22"/>
        </w:rPr>
        <w:t xml:space="preserve">The home assistant row reads as an entertainment / topic menu ("Bollywood", "Cricket") rather than a conversational app.</w:t>
      </w:r>
    </w:p>
    <w:p>
      <w:pPr>
        <w:pStyle w:val="Heading2"/>
        <w:spacing w:after="120" w:before="280"/>
      </w:pPr>
      <w:r>
        <w:rPr>
          <w:rFonts w:ascii="Arial" w:cs="Arial" w:eastAsia="Arial" w:hAnsi="Arial"/>
          <w:b/>
          <w:bCs/>
          <w:color w:val="1A1A1A"/>
          <w:sz w:val="26"/>
          <w:szCs w:val="26"/>
        </w:rPr>
        <w:t xml:space="preserve">What we shipped this week in response</w:t>
      </w:r>
    </w:p>
    <w:p>
      <w:pPr>
        <w:pStyle w:val="ListParagraph"/>
        <w:numPr>
          <w:ilvl w:val="0"/>
          <w:numId w:val="2"/>
        </w:numPr>
        <w:spacing w:after="80"/>
      </w:pPr>
      <w:r>
        <w:rPr>
          <w:rFonts w:ascii="Arial" w:cs="Arial" w:eastAsia="Arial" w:hAnsi="Arial"/>
          <w:color w:val="1A1A1A"/>
          <w:sz w:val="22"/>
          <w:szCs w:val="22"/>
        </w:rPr>
        <w:t xml:space="preserve">Mute state redesigned to be categorically distinct from listening — saturated orb, filled mic‑slash button, two‑line splash, audio cue on toggle. Privacy contract enforced via a single mute guard.</w:t>
      </w:r>
    </w:p>
    <w:p>
      <w:pPr>
        <w:pStyle w:val="ListParagraph"/>
        <w:numPr>
          <w:ilvl w:val="0"/>
          <w:numId w:val="2"/>
        </w:numPr>
        <w:spacing w:after="80"/>
      </w:pPr>
      <w:r>
        <w:rPr>
          <w:rFonts w:ascii="Arial" w:cs="Arial" w:eastAsia="Arial" w:hAnsi="Arial"/>
          <w:color w:val="1A1A1A"/>
          <w:sz w:val="22"/>
          <w:szCs w:val="22"/>
        </w:rPr>
        <w:t xml:space="preserve">Spectral voice‑activity detection that rejects breathing, plosives and rumble — a meaningful improvement in noisy environments.</w:t>
      </w:r>
    </w:p>
    <w:p>
      <w:pPr>
        <w:pStyle w:val="ListParagraph"/>
        <w:numPr>
          <w:ilvl w:val="0"/>
          <w:numId w:val="2"/>
        </w:numPr>
        <w:spacing w:after="80"/>
      </w:pPr>
      <w:r>
        <w:rPr>
          <w:rFonts w:ascii="Arial" w:cs="Arial" w:eastAsia="Arial" w:hAnsi="Arial"/>
          <w:color w:val="1A1A1A"/>
          <w:sz w:val="22"/>
          <w:szCs w:val="22"/>
        </w:rPr>
        <w:t xml:space="preserve">Speak CTA on the home screen, partially honouring the tap‑first mental model at entry.</w:t>
      </w:r>
    </w:p>
    <w:p>
      <w:pPr>
        <w:pStyle w:val="ListParagraph"/>
        <w:numPr>
          <w:ilvl w:val="0"/>
          <w:numId w:val="2"/>
        </w:numPr>
        <w:spacing w:after="80"/>
      </w:pPr>
      <w:r>
        <w:rPr>
          <w:rFonts w:ascii="Arial" w:cs="Arial" w:eastAsia="Arial" w:hAnsi="Arial"/>
          <w:color w:val="1A1A1A"/>
          <w:sz w:val="22"/>
          <w:szCs w:val="22"/>
        </w:rPr>
        <w:t xml:space="preserve">Voice disclosure (four‑beat summary) attached to all 20 mocks; rendered above DiscoveryView in text mode.</w:t>
      </w:r>
    </w:p>
    <w:p>
      <w:pPr>
        <w:pStyle w:val="ListParagraph"/>
        <w:numPr>
          <w:ilvl w:val="0"/>
          <w:numId w:val="2"/>
        </w:numPr>
        <w:spacing w:after="80"/>
      </w:pPr>
      <w:r>
        <w:rPr>
          <w:rFonts w:ascii="Arial" w:cs="Arial" w:eastAsia="Arial" w:hAnsi="Arial"/>
          <w:color w:val="1A1A1A"/>
          <w:sz w:val="22"/>
          <w:szCs w:val="22"/>
        </w:rPr>
        <w:t xml:space="preserve">DiscoveryView Compare, Place and Catalog patterns wired into the main chat with the §9 edge affordance for next‑turn nudges.</w:t>
      </w:r>
    </w:p>
    <w:p>
      <w:pPr>
        <w:pStyle w:val="Heading2"/>
        <w:spacing w:after="120" w:before="280"/>
      </w:pPr>
      <w:r>
        <w:rPr>
          <w:rFonts w:ascii="Arial" w:cs="Arial" w:eastAsia="Arial" w:hAnsi="Arial"/>
          <w:b/>
          <w:bCs/>
          <w:color w:val="1A1A1A"/>
          <w:sz w:val="26"/>
          <w:szCs w:val="26"/>
        </w:rPr>
        <w:t xml:space="preserve">What Round 1 highlighted that we have not yet answered</w:t>
      </w:r>
    </w:p>
    <w:p>
      <w:pPr>
        <w:pStyle w:val="ListParagraph"/>
        <w:numPr>
          <w:ilvl w:val="0"/>
          <w:numId w:val="2"/>
        </w:numPr>
        <w:spacing w:after="80"/>
      </w:pPr>
      <w:r>
        <w:rPr>
          <w:rFonts w:ascii="Arial" w:cs="Arial" w:eastAsia="Arial" w:hAnsi="Arial"/>
          <w:color w:val="1A1A1A"/>
          <w:sz w:val="22"/>
          <w:szCs w:val="22"/>
        </w:rPr>
        <w:t xml:space="preserve">Barge‑in over the welcome greeting. Speaking during the greeting still drops input.</w:t>
      </w:r>
    </w:p>
    <w:p>
      <w:pPr>
        <w:pStyle w:val="ListParagraph"/>
        <w:numPr>
          <w:ilvl w:val="0"/>
          <w:numId w:val="2"/>
        </w:numPr>
        <w:spacing w:after="80"/>
      </w:pPr>
      <w:r>
        <w:rPr>
          <w:rFonts w:ascii="Arial" w:cs="Arial" w:eastAsia="Arial" w:hAnsi="Arial"/>
          <w:color w:val="1A1A1A"/>
          <w:sz w:val="22"/>
          <w:szCs w:val="22"/>
        </w:rPr>
        <w:t xml:space="preserve">Home‑screen sensemaking. The Speak CTA is on a button; the home narrative is unchanged.</w:t>
      </w:r>
    </w:p>
    <w:p>
      <w:pPr>
        <w:pStyle w:val="ListParagraph"/>
        <w:numPr>
          <w:ilvl w:val="0"/>
          <w:numId w:val="2"/>
        </w:numPr>
        <w:spacing w:after="80"/>
      </w:pPr>
      <w:r>
        <w:rPr>
          <w:rFonts w:ascii="Arial" w:cs="Arial" w:eastAsia="Arial" w:hAnsi="Arial"/>
          <w:color w:val="1A1A1A"/>
          <w:sz w:val="22"/>
          <w:szCs w:val="22"/>
        </w:rPr>
        <w:t xml:space="preserve">Long‑prompt recovery. An incoming phone call still loses 5–6 minutes of voice input with no way back.</w:t>
      </w:r>
    </w:p>
    <w:p>
      <w:pPr>
        <w:pStyle w:val="ListParagraph"/>
        <w:numPr>
          <w:ilvl w:val="0"/>
          <w:numId w:val="2"/>
        </w:numPr>
        <w:spacing w:after="80"/>
      </w:pPr>
      <w:r>
        <w:rPr>
          <w:rFonts w:ascii="Arial" w:cs="Arial" w:eastAsia="Arial" w:hAnsi="Arial"/>
          <w:color w:val="1A1A1A"/>
          <w:sz w:val="22"/>
          <w:szCs w:val="22"/>
        </w:rPr>
        <w:t xml:space="preserve">The wave / EQ‑bar icon read three different ways across user tiers. We have not yet made a deliberate call about it.</w:t>
      </w:r>
    </w:p>
    <w:p>
      <w:pPr>
        <w:pStyle w:val="ListParagraph"/>
        <w:numPr>
          <w:ilvl w:val="0"/>
          <w:numId w:val="2"/>
        </w:numPr>
        <w:spacing w:after="80"/>
      </w:pPr>
      <w:r>
        <w:rPr>
          <w:rFonts w:ascii="Arial" w:cs="Arial" w:eastAsia="Arial" w:hAnsi="Arial"/>
          <w:color w:val="1A1A1A"/>
          <w:sz w:val="22"/>
          <w:szCs w:val="22"/>
        </w:rPr>
        <w:t xml:space="preserve">The listening signal is still subtle — a 2‑second text fade — and gets overwritten by the live transcript bubble.</w:t>
      </w:r>
    </w:p>
    <w:p>
      <w:pPr>
        <w:pStyle w:val="Heading1"/>
        <w:spacing w:after="160" w:before="360"/>
      </w:pPr>
      <w:r>
        <w:rPr>
          <w:rFonts w:ascii="Arial" w:cs="Arial" w:eastAsia="Arial" w:hAnsi="Arial"/>
          <w:b/>
          <w:bCs/>
          <w:color w:val="1A1A1A"/>
          <w:sz w:val="34"/>
          <w:szCs w:val="34"/>
        </w:rPr>
        <w:t xml:space="preserve">3. The strategic decision: Path A or Path B</w:t>
      </w:r>
    </w:p>
    <w:p>
      <w:pPr>
        <w:spacing w:after="120"/>
      </w:pPr>
      <w:r>
        <w:rPr>
          <w:rFonts w:ascii="Arial" w:cs="Arial" w:eastAsia="Arial" w:hAnsi="Arial"/>
          <w:color w:val="1A1A1A"/>
          <w:sz w:val="22"/>
          <w:szCs w:val="22"/>
        </w:rPr>
        <w:t xml:space="preserve">Before we sharpen Round 2 or any new design, the team needs to align on what JBIQ is competing for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Path A — Narrow (recommended)</w:t>
            </w:r>
          </w:p>
        </w:tc>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Path B — Broad (current)</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color w:val="1A1A1A"/>
                <w:sz w:val="20"/>
                <w:szCs w:val="20"/>
              </w:rPr>
              <w:t xml:space="preserve">Voice-first local transactional completion. Hindi + 2 regional languages. T2/T3 focus. ₹50–500 ticket. Anchored on government schemes, local services, recharge &amp; bills, small commerce.</w:t>
            </w:r>
          </w:p>
          <w:p>
            <w:pPr>
              <w:spacing w:after="120"/>
            </w:pPr>
            <w:r>
              <w:rPr>
                <w:rFonts w:ascii="Arial" w:cs="Arial" w:eastAsia="Arial" w:hAnsi="Arial"/>
                <w:color w:val="1A1A1A"/>
                <w:sz w:val="20"/>
                <w:szCs w:val="20"/>
              </w:rPr>
              <w:t xml:space="preserve">Cut Bollywood, astrology and general Q&amp;A from the home promise.</w:t>
            </w:r>
          </w:p>
          <w:p>
            <w:pPr>
              <w:spacing w:after="120"/>
            </w:pPr>
            <w:r>
              <w:rPr>
                <w:rFonts w:ascii="Arial" w:cs="Arial" w:eastAsia="Arial" w:hAnsi="Arial"/>
                <w:i/>
                <w:iCs/>
                <w:color w:val="5A5A5A"/>
                <w:sz w:val="20"/>
                <w:szCs w:val="20"/>
              </w:rPr>
              <w:t xml:space="preserve">Moat: JioPhone + JioPay + telco/account integration.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color w:val="1A1A1A"/>
                <w:sz w:val="20"/>
                <w:szCs w:val="20"/>
              </w:rPr>
              <w:t xml:space="preserve">Keep the 8-category assistant row. Compete as a generalist voice assistant.</w:t>
            </w:r>
          </w:p>
          <w:p>
            <w:pPr>
              <w:spacing w:after="120"/>
            </w:pPr>
            <w:r>
              <w:rPr>
                <w:rFonts w:ascii="Arial" w:cs="Arial" w:eastAsia="Arial" w:hAnsi="Arial"/>
                <w:color w:val="1A1A1A"/>
                <w:sz w:val="20"/>
                <w:szCs w:val="20"/>
              </w:rPr>
              <w:t xml:space="preserve">Direct competition with Meta AI in WhatsApp, Google Assistant, ChatGPT voice, Krutrim, Hanooman.</w:t>
            </w:r>
          </w:p>
          <w:p>
            <w:pPr>
              <w:spacing w:after="120"/>
            </w:pPr>
            <w:r>
              <w:rPr>
                <w:rFonts w:ascii="Arial" w:cs="Arial" w:eastAsia="Arial" w:hAnsi="Arial"/>
                <w:i/>
                <w:iCs/>
                <w:color w:val="5A5A5A"/>
                <w:sz w:val="20"/>
                <w:szCs w:val="20"/>
              </w:rPr>
              <w:t xml:space="preserve">Defensibility unclear without a unique data or distribution wedge.</w:t>
            </w:r>
          </w:p>
        </w:tc>
      </w:tr>
    </w:tbl>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17CE" w:sz="12"/>
              <w:left w:val="single" w:color="EFE7FA" w:sz="4"/>
              <w:bottom w:val="single" w:color="EFE7FA" w:sz="4"/>
              <w:right w:val="single" w:color="EFE7FA" w:sz="4"/>
            </w:tcBorders>
            <w:shd w:fill="EFE7FA" w:val="clear"/>
            <w:tcMar>
              <w:top w:type="dxa" w:w="160"/>
              <w:left w:type="dxa" w:w="200"/>
              <w:bottom w:type="dxa" w:w="160"/>
              <w:right w:type="dxa" w:w="200"/>
            </w:tcMar>
          </w:tcPr>
          <w:p>
            <w:pPr>
              <w:spacing w:after="60"/>
            </w:pPr>
            <w:r>
              <w:rPr>
                <w:rFonts w:ascii="Arial" w:cs="Arial" w:eastAsia="Arial" w:hAnsi="Arial"/>
                <w:b/>
                <w:bCs/>
                <w:color w:val="6D17CE"/>
                <w:sz w:val="20"/>
                <w:szCs w:val="20"/>
              </w:rPr>
              <w:t xml:space="preserve">Recommendation</w:t>
            </w:r>
          </w:p>
          <w:p>
            <w:r>
              <w:rPr>
                <w:rFonts w:ascii="Arial" w:cs="Arial" w:eastAsia="Arial" w:hAnsi="Arial"/>
                <w:color w:val="1A1A1A"/>
                <w:sz w:val="22"/>
                <w:szCs w:val="22"/>
              </w:rPr>
              <w:t xml:space="preserve">Path A. Treat Round 2 as a falsification test for the narrow bet — if Track‑B evidence comes back saying Path B, we pivot in Week 5 with data instead of opinion.</w:t>
            </w:r>
          </w:p>
        </w:tc>
      </w:tr>
    </w:tbl>
    <w:p>
      <w:pPr>
        <w:pStyle w:val="Heading1"/>
        <w:spacing w:after="160" w:before="360"/>
      </w:pPr>
      <w:r>
        <w:rPr>
          <w:rFonts w:ascii="Arial" w:cs="Arial" w:eastAsia="Arial" w:hAnsi="Arial"/>
          <w:b/>
          <w:bCs/>
          <w:color w:val="1A1A1A"/>
          <w:sz w:val="34"/>
          <w:szCs w:val="34"/>
        </w:rPr>
        <w:t xml:space="preserve">4. What Path A looks like in practice</w:t>
      </w:r>
    </w:p>
    <w:p>
      <w:pPr>
        <w:spacing w:after="120"/>
      </w:pPr>
      <w:r>
        <w:rPr>
          <w:rFonts w:ascii="Arial" w:cs="Arial" w:eastAsia="Arial" w:hAnsi="Arial"/>
          <w:color w:val="1A1A1A"/>
          <w:sz w:val="22"/>
          <w:szCs w:val="22"/>
        </w:rPr>
        <w:t xml:space="preserve">Five worked use cases. Each is a real moment a real user could be in next week, in a Path‑A‑shaped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1. Government scheme — PM‑Kisan disbursal</w:t>
            </w:r>
          </w:p>
          <w:p>
            <w:pPr>
              <w:spacing w:after="100"/>
            </w:pPr>
            <w:r>
              <w:rPr>
                <w:rFonts w:ascii="Arial" w:cs="Arial" w:eastAsia="Arial" w:hAnsi="Arial"/>
                <w:i/>
                <w:iCs/>
                <w:color w:val="5A5A5A"/>
                <w:sz w:val="20"/>
                <w:szCs w:val="20"/>
              </w:rPr>
              <w:t xml:space="preserve">Ramesh, farmer, Yavatmal. Reading the portal isn't realistic.</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“PM Kisan ka paisa kab aayega mere account mein?”</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Confirms his Aadhaar‑linked account, checks status, replies in Hinglish: "Aapki agli kisht ₹2,000 hai, 18 May tak Bank of Baroda mein aa jayegi. Pichli kisht 14 February ko aayi thi." One voice turn, no card needed.</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Google gives a portal link; UMANG needs login + form navigation; this is one voice turn.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2. Booking a plumber on a leaking tap</w:t>
            </w:r>
          </w:p>
          <w:p>
            <w:pPr>
              <w:spacing w:after="100"/>
            </w:pPr>
            <w:r>
              <w:rPr>
                <w:rFonts w:ascii="Arial" w:cs="Arial" w:eastAsia="Arial" w:hAnsi="Arial"/>
                <w:i/>
                <w:iCs/>
                <w:color w:val="5A5A5A"/>
                <w:sz w:val="20"/>
                <w:szCs w:val="20"/>
              </w:rPr>
              <w:t xml:space="preserve">Asha, homemaker, Indore. Doesn't know plumbers' names; typing English is friction.</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“Andheri mein nal theek karne wala chahiye, abhi aa sake aisa.”</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Returns 3 plumbers (DiscoveryView Place): name, distance, rating, ETA, ₹ rate. Edge affordance: "Sirf abhi available wale dikhaayein." She taps; booking confirmed: "Suresh aa raha hai, 25 minute mein. ₹250 visit charge."</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JustDial needs typing and scrolling; Sulekha is desktop‑first; UrbanCompany is metro‑only and English‑first.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3. Mobile recharge</w:t>
            </w:r>
          </w:p>
          <w:p>
            <w:pPr>
              <w:spacing w:after="100"/>
            </w:pPr>
            <w:r>
              <w:rPr>
                <w:rFonts w:ascii="Arial" w:cs="Arial" w:eastAsia="Arial" w:hAnsi="Arial"/>
                <w:i/>
                <w:iCs/>
                <w:color w:val="5A5A5A"/>
                <w:sz w:val="20"/>
                <w:szCs w:val="20"/>
              </w:rPr>
              <w:t xml:space="preserve">Sayed, jeweller, small‑town T2. Currently asks his nephew to recharge.</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“Mera recharge khatam ho raha hai, ₹299 wala lagao.”</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"Aapka 299 plan — 28 days validity, 2GB/day. Confirm karein?" On‑screen Confirm &amp; Pay (irreversible action — explicit commit, never voice‑only yes). Done.</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MyJio has the same recharge in 4–5 taps but Sayed has to find the plan; one voice turn + one tap bypasses literacy.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4. Pediatrician at 2 a.m.</w:t>
            </w:r>
          </w:p>
          <w:p>
            <w:pPr>
              <w:spacing w:after="100"/>
            </w:pPr>
            <w:r>
              <w:rPr>
                <w:rFonts w:ascii="Arial" w:cs="Arial" w:eastAsia="Arial" w:hAnsi="Arial"/>
                <w:i/>
                <w:iCs/>
                <w:color w:val="5A5A5A"/>
                <w:sz w:val="20"/>
                <w:szCs w:val="20"/>
              </w:rPr>
              <w:t xml:space="preserve">Priya, mother, Lucknow. Child has fever; doesn't want to drive without checking.</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“Bachche ko bukhar hai 102, abhi koi pediatrician available hai paas mein?”</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3 nearby pediatric clinics: open‑now flag, distance, phone, "tele‑consult available" badge. Edge affordance: "Abhi call karein." Tap dials. Commitment is the call she placed herself.</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Practo needs login + form; Google Maps doesn't filter "24‑hour + tele‑consult" cleanly.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5. Cooking‑gas refill</w:t>
            </w:r>
          </w:p>
          <w:p>
            <w:pPr>
              <w:spacing w:after="100"/>
            </w:pPr>
            <w:r>
              <w:rPr>
                <w:rFonts w:ascii="Arial" w:cs="Arial" w:eastAsia="Arial" w:hAnsi="Arial"/>
                <w:i/>
                <w:iCs/>
                <w:color w:val="5A5A5A"/>
                <w:sz w:val="20"/>
                <w:szCs w:val="20"/>
              </w:rPr>
              <w:t xml:space="preserve">Kavita, retired teacher, Coimbatore. Speaks Tamil natively; types English with effort.</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“Cylinder book pannanum, indha vaaram delivery venum.”</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"Indane booking confirm‑aanadhu, Friday delivery. ₹903. UPI‑le pay panniraikkireenga?" Confirm &amp; Pay → done.</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IVR cylinder booking is a known UX disaster; the IndianOil/HP apps are infrequent‑use and low‑recall; voice beats both.</w:t>
            </w:r>
          </w:p>
        </w:tc>
      </w:tr>
    </w:tbl>
    <w:p>
      <w:pPr>
        <w:pStyle w:val="Heading2"/>
        <w:spacing w:after="120" w:before="280"/>
      </w:pPr>
      <w:r>
        <w:rPr>
          <w:rFonts w:ascii="Arial" w:cs="Arial" w:eastAsia="Arial" w:hAnsi="Arial"/>
          <w:b/>
          <w:bCs/>
          <w:color w:val="1A1A1A"/>
          <w:sz w:val="26"/>
          <w:szCs w:val="26"/>
        </w:rPr>
        <w:t xml:space="preserve">Three more, by category</w:t>
      </w:r>
    </w:p>
    <w:p>
      <w:pPr>
        <w:spacing w:after="120"/>
      </w:pPr>
      <w:r>
        <w:rPr>
          <w:rFonts w:ascii="Arial" w:cs="Arial" w:eastAsia="Arial" w:hAnsi="Arial"/>
          <w:b/>
          <w:bCs/>
          <w:color w:val="6D17CE"/>
          <w:sz w:val="22"/>
          <w:szCs w:val="22"/>
        </w:rPr>
        <w:t xml:space="preserve">Government &amp; civic. </w:t>
      </w:r>
      <w:r>
        <w:rPr>
          <w:rFonts w:ascii="Arial" w:cs="Arial" w:eastAsia="Arial" w:hAnsi="Arial"/>
          <w:color w:val="1A1A1A"/>
          <w:sz w:val="22"/>
          <w:szCs w:val="22"/>
        </w:rPr>
        <w:t xml:space="preserve">Ration card status (DigiLocker fetch + nearest FPS shop with stock); scholarship lookup for a 12th‑pass daughter (Compare DiscoveryView with deadlines).</w:t>
      </w:r>
    </w:p>
    <w:p>
      <w:pPr>
        <w:spacing w:after="120"/>
      </w:pPr>
      <w:r>
        <w:rPr>
          <w:rFonts w:ascii="Arial" w:cs="Arial" w:eastAsia="Arial" w:hAnsi="Arial"/>
          <w:b/>
          <w:bCs/>
          <w:color w:val="6D17CE"/>
          <w:sz w:val="22"/>
          <w:szCs w:val="22"/>
        </w:rPr>
        <w:t xml:space="preserve">Local services. </w:t>
      </w:r>
      <w:r>
        <w:rPr>
          <w:rFonts w:ascii="Arial" w:cs="Arial" w:eastAsia="Arial" w:hAnsi="Arial"/>
          <w:color w:val="1A1A1A"/>
          <w:sz w:val="22"/>
          <w:szCs w:val="22"/>
        </w:rPr>
        <w:t xml:space="preserve">Class 10 maths tutor under ₹500; Diwali blouse tailoring with same‑day flag.</w:t>
      </w:r>
    </w:p>
    <w:p>
      <w:pPr>
        <w:spacing w:after="120"/>
      </w:pPr>
      <w:r>
        <w:rPr>
          <w:rFonts w:ascii="Arial" w:cs="Arial" w:eastAsia="Arial" w:hAnsi="Arial"/>
          <w:b/>
          <w:bCs/>
          <w:color w:val="6D17CE"/>
          <w:sz w:val="22"/>
          <w:szCs w:val="22"/>
        </w:rPr>
        <w:t xml:space="preserve">Small commerce. </w:t>
      </w:r>
      <w:r>
        <w:rPr>
          <w:rFonts w:ascii="Arial" w:cs="Arial" w:eastAsia="Arial" w:hAnsi="Arial"/>
          <w:color w:val="1A1A1A"/>
          <w:sz w:val="22"/>
          <w:szCs w:val="22"/>
        </w:rPr>
        <w:t xml:space="preserve">Kirana reorder ("Maggi 5 packets aur ek dabba haldi le aao"); milk‑subscription edit ("Doodh kal se 1 litre kar do").</w:t>
      </w:r>
    </w:p>
    <w:p>
      <w:pPr>
        <w:pStyle w:val="Heading1"/>
        <w:spacing w:after="160" w:before="360"/>
      </w:pPr>
      <w:r>
        <w:rPr>
          <w:rFonts w:ascii="Arial" w:cs="Arial" w:eastAsia="Arial" w:hAnsi="Arial"/>
          <w:b/>
          <w:bCs/>
          <w:color w:val="1A1A1A"/>
          <w:sz w:val="34"/>
          <w:szCs w:val="34"/>
        </w:rPr>
        <w:t xml:space="preserve">5. What Path A means for the product</w:t>
      </w:r>
    </w:p>
    <w:p>
      <w:pPr>
        <w:spacing w:after="120"/>
      </w:pPr>
      <w:r>
        <w:rPr>
          <w:rFonts w:ascii="Arial" w:cs="Arial" w:eastAsia="Arial" w:hAnsi="Arial"/>
          <w:color w:val="1A1A1A"/>
          <w:sz w:val="22"/>
          <w:szCs w:val="22"/>
        </w:rPr>
        <w:t xml:space="preserve">The discipline of Path A is what you cut from the current scope. None of these survive as top‑level pillars:</w:t>
      </w:r>
    </w:p>
    <w:p>
      <w:pPr>
        <w:pStyle w:val="ListParagraph"/>
        <w:numPr>
          <w:ilvl w:val="0"/>
          <w:numId w:val="2"/>
        </w:numPr>
        <w:spacing w:after="80"/>
      </w:pPr>
      <w:r>
        <w:rPr>
          <w:rFonts w:ascii="Arial" w:cs="Arial" w:eastAsia="Arial" w:hAnsi="Arial"/>
          <w:b/>
          <w:bCs/>
          <w:color w:val="1A1A1A"/>
          <w:sz w:val="22"/>
          <w:szCs w:val="22"/>
        </w:rPr>
        <w:t xml:space="preserve">Bollywood / movie discovery — </w:t>
      </w:r>
      <w:r>
        <w:rPr>
          <w:rFonts w:ascii="Arial" w:cs="Arial" w:eastAsia="Arial" w:hAnsi="Arial"/>
          <w:color w:val="1A1A1A"/>
          <w:sz w:val="22"/>
          <w:szCs w:val="22"/>
        </w:rPr>
        <w:t xml:space="preserve">Hotstar, JioCinema, YouTube already own this; voice doesn't add a unique advantage.</w:t>
      </w:r>
    </w:p>
    <w:p>
      <w:pPr>
        <w:pStyle w:val="ListParagraph"/>
        <w:numPr>
          <w:ilvl w:val="0"/>
          <w:numId w:val="2"/>
        </w:numPr>
        <w:spacing w:after="80"/>
      </w:pPr>
      <w:r>
        <w:rPr>
          <w:rFonts w:ascii="Arial" w:cs="Arial" w:eastAsia="Arial" w:hAnsi="Arial"/>
          <w:b/>
          <w:bCs/>
          <w:color w:val="1A1A1A"/>
          <w:sz w:val="22"/>
          <w:szCs w:val="22"/>
        </w:rPr>
        <w:t xml:space="preserve">Astrology and broad devotional content — </w:t>
      </w:r>
      <w:r>
        <w:rPr>
          <w:rFonts w:ascii="Arial" w:cs="Arial" w:eastAsia="Arial" w:hAnsi="Arial"/>
          <w:color w:val="1A1A1A"/>
          <w:sz w:val="22"/>
          <w:szCs w:val="22"/>
        </w:rPr>
        <w:t xml:space="preserve">high engagement but not transactional in the JBIQ sense; AstroSage / AstroTalk are better placed.</w:t>
      </w:r>
    </w:p>
    <w:p>
      <w:pPr>
        <w:pStyle w:val="ListParagraph"/>
        <w:numPr>
          <w:ilvl w:val="0"/>
          <w:numId w:val="2"/>
        </w:numPr>
        <w:spacing w:after="80"/>
      </w:pPr>
      <w:r>
        <w:rPr>
          <w:rFonts w:ascii="Arial" w:cs="Arial" w:eastAsia="Arial" w:hAnsi="Arial"/>
          <w:b/>
          <w:bCs/>
          <w:color w:val="1A1A1A"/>
          <w:sz w:val="22"/>
          <w:szCs w:val="22"/>
        </w:rPr>
        <w:t xml:space="preserve">General‑purpose Q&amp;A — </w:t>
      </w:r>
      <w:r>
        <w:rPr>
          <w:rFonts w:ascii="Arial" w:cs="Arial" w:eastAsia="Arial" w:hAnsi="Arial"/>
          <w:color w:val="1A1A1A"/>
          <w:sz w:val="22"/>
          <w:szCs w:val="22"/>
        </w:rPr>
        <w:t xml:space="preserve">competing here means competing with ChatGPT and Meta AI in WhatsApp; we lose unless we have unique data.</w:t>
      </w:r>
    </w:p>
    <w:p>
      <w:pPr>
        <w:pStyle w:val="ListParagraph"/>
        <w:numPr>
          <w:ilvl w:val="0"/>
          <w:numId w:val="2"/>
        </w:numPr>
        <w:spacing w:after="80"/>
      </w:pPr>
      <w:r>
        <w:rPr>
          <w:rFonts w:ascii="Arial" w:cs="Arial" w:eastAsia="Arial" w:hAnsi="Arial"/>
          <w:b/>
          <w:bCs/>
          <w:color w:val="1A1A1A"/>
          <w:sz w:val="22"/>
          <w:szCs w:val="22"/>
        </w:rPr>
        <w:t xml:space="preserve">IPL stats and live cricket — </w:t>
      </w:r>
      <w:r>
        <w:rPr>
          <w:rFonts w:ascii="Arial" w:cs="Arial" w:eastAsia="Arial" w:hAnsi="Arial"/>
          <w:color w:val="1A1A1A"/>
          <w:sz w:val="22"/>
          <w:szCs w:val="22"/>
        </w:rPr>
        <w:t xml:space="preserve">commoditised by Hotstar voice and Google.</w:t>
      </w:r>
    </w:p>
    <w:p>
      <w:pPr>
        <w:spacing w:after="120"/>
      </w:pPr>
      <w:r>
        <w:rPr>
          <w:rFonts w:ascii="Arial" w:cs="Arial" w:eastAsia="Arial" w:hAnsi="Arial"/>
          <w:color w:val="1A1A1A"/>
          <w:sz w:val="22"/>
          <w:szCs w:val="22"/>
        </w:rPr>
        <w:t xml:space="preserve">These can survive as "ask anything" fallbacks but should not appear as top‑level assistant tiles.</w:t>
      </w:r>
    </w:p>
    <w:p>
      <w:pPr>
        <w:pStyle w:val="Heading2"/>
        <w:spacing w:after="120" w:before="280"/>
      </w:pPr>
      <w:r>
        <w:rPr>
          <w:rFonts w:ascii="Arial" w:cs="Arial" w:eastAsia="Arial" w:hAnsi="Arial"/>
          <w:b/>
          <w:bCs/>
          <w:color w:val="1A1A1A"/>
          <w:sz w:val="26"/>
          <w:szCs w:val="26"/>
        </w:rPr>
        <w:t xml:space="preserve">What replaces it</w:t>
      </w:r>
    </w:p>
    <w:p>
      <w:pPr>
        <w:pStyle w:val="ListParagraph"/>
        <w:numPr>
          <w:ilvl w:val="0"/>
          <w:numId w:val="2"/>
        </w:numPr>
        <w:spacing w:after="80"/>
      </w:pPr>
      <w:r>
        <w:rPr>
          <w:rFonts w:ascii="Arial" w:cs="Arial" w:eastAsia="Arial" w:hAnsi="Arial"/>
          <w:color w:val="1A1A1A"/>
          <w:sz w:val="22"/>
          <w:szCs w:val="22"/>
        </w:rPr>
        <w:t xml:space="preserve">The 8‑category assistant row reduces to four: Government, Local Services, Recharge &amp; Bills, Order &amp; Buy.</w:t>
      </w:r>
    </w:p>
    <w:p>
      <w:pPr>
        <w:pStyle w:val="ListParagraph"/>
        <w:numPr>
          <w:ilvl w:val="0"/>
          <w:numId w:val="2"/>
        </w:numPr>
        <w:spacing w:after="80"/>
      </w:pPr>
      <w:r>
        <w:rPr>
          <w:rFonts w:ascii="Arial" w:cs="Arial" w:eastAsia="Arial" w:hAnsi="Arial"/>
          <w:color w:val="1A1A1A"/>
          <w:sz w:val="22"/>
          <w:szCs w:val="22"/>
        </w:rPr>
        <w:t xml:space="preserve">The default mental model becomes: "you're a Hindi or regional‑language speaker who wants to do something, not browse."</w:t>
      </w:r>
    </w:p>
    <w:p>
      <w:pPr>
        <w:pStyle w:val="ListParagraph"/>
        <w:numPr>
          <w:ilvl w:val="0"/>
          <w:numId w:val="2"/>
        </w:numPr>
        <w:spacing w:after="80"/>
      </w:pPr>
      <w:r>
        <w:rPr>
          <w:rFonts w:ascii="Arial" w:cs="Arial" w:eastAsia="Arial" w:hAnsi="Arial"/>
          <w:color w:val="1A1A1A"/>
          <w:sz w:val="22"/>
          <w:szCs w:val="22"/>
        </w:rPr>
        <w:t xml:space="preserve">Every successful interaction ends in a commitment — a payment, a booking, a call placed, a status confirmed. "Just chatted with the AI" is not a Path A success metric.</w:t>
      </w:r>
    </w:p>
    <w:p>
      <w:pPr>
        <w:pStyle w:val="ListParagraph"/>
        <w:numPr>
          <w:ilvl w:val="0"/>
          <w:numId w:val="2"/>
        </w:numPr>
        <w:spacing w:after="80"/>
      </w:pPr>
      <w:r>
        <w:rPr>
          <w:rFonts w:ascii="Arial" w:cs="Arial" w:eastAsia="Arial" w:hAnsi="Arial"/>
          <w:color w:val="1A1A1A"/>
          <w:sz w:val="22"/>
          <w:szCs w:val="22"/>
        </w:rPr>
        <w:t xml:space="preserve">Voice disclosure (the four‑beat summary) becomes mandatory because most users will be looking at the screen after they've heard the answer — audio is the primary channel.</w:t>
      </w:r>
    </w:p>
    <w:p>
      <w:pPr>
        <w:pStyle w:val="ListParagraph"/>
        <w:numPr>
          <w:ilvl w:val="0"/>
          <w:numId w:val="2"/>
        </w:numPr>
        <w:spacing w:after="80"/>
      </w:pPr>
      <w:r>
        <w:rPr>
          <w:rFonts w:ascii="Arial" w:cs="Arial" w:eastAsia="Arial" w:hAnsi="Arial"/>
          <w:color w:val="1A1A1A"/>
          <w:sz w:val="22"/>
          <w:szCs w:val="22"/>
        </w:rPr>
        <w:t xml:space="preserve">The Jio moat — JioPay, JioPhone, telco data, account linkage — earns its keep on exactly these flows: recharge, bill payment, gas booking, ration card status, PM‑Kisan disbursals.</w:t>
      </w:r>
    </w:p>
    <w:p>
      <w:pPr>
        <w:pStyle w:val="Heading1"/>
        <w:spacing w:after="160" w:before="360"/>
      </w:pPr>
      <w:r>
        <w:rPr>
          <w:rFonts w:ascii="Arial" w:cs="Arial" w:eastAsia="Arial" w:hAnsi="Arial"/>
          <w:b/>
          <w:bCs/>
          <w:color w:val="1A1A1A"/>
          <w:sz w:val="34"/>
          <w:szCs w:val="34"/>
        </w:rPr>
        <w:t xml:space="preserve">6. UX &amp; design priorities post Round 1</w:t>
      </w:r>
    </w:p>
    <w:p>
      <w:pPr>
        <w:spacing w:after="120"/>
      </w:pPr>
      <w:r>
        <w:rPr>
          <w:rFonts w:ascii="Arial" w:cs="Arial" w:eastAsia="Arial" w:hAnsi="Arial"/>
          <w:color w:val="1A1A1A"/>
          <w:sz w:val="22"/>
          <w:szCs w:val="22"/>
        </w:rPr>
        <w:t xml:space="preserve">Six priorities map directly to what the field research told us and what this week's work didn't yet address. They are sequenced ahead of Round‑2 Track‑A so we can validate the fixes, not just ship them.</w:t>
      </w:r>
    </w:p>
    <w:p>
      <w:pPr>
        <w:pStyle w:val="Heading3"/>
        <w:spacing w:after="100" w:before="220"/>
      </w:pPr>
      <w:r>
        <w:rPr>
          <w:rFonts w:ascii="Arial" w:cs="Arial" w:eastAsia="Arial" w:hAnsi="Arial"/>
          <w:b/>
          <w:bCs/>
          <w:color w:val="6D17CE"/>
          <w:sz w:val="23"/>
          <w:szCs w:val="23"/>
        </w:rPr>
        <w:t xml:space="preserve">Reframe the home screen as voice‑first</w:t>
      </w:r>
    </w:p>
    <w:p>
      <w:pPr>
        <w:spacing w:after="120"/>
      </w:pPr>
      <w:r>
        <w:rPr>
          <w:rFonts w:ascii="Arial" w:cs="Arial" w:eastAsia="Arial" w:hAnsi="Arial"/>
          <w:color w:val="1A1A1A"/>
          <w:sz w:val="22"/>
          <w:szCs w:val="22"/>
        </w:rPr>
        <w:t xml:space="preserve">Either a non‑dismissible first‑run overlay or a reframed assistant row ("Ask me about…" rather than topic tiles), with the Speak CTA hierarchically dominant over the text pill. This is the highest‑leverage call after the Path decision.</w:t>
      </w:r>
    </w:p>
    <w:p>
      <w:pPr>
        <w:pStyle w:val="Heading3"/>
        <w:spacing w:after="100" w:before="220"/>
      </w:pPr>
      <w:r>
        <w:rPr>
          <w:rFonts w:ascii="Arial" w:cs="Arial" w:eastAsia="Arial" w:hAnsi="Arial"/>
          <w:b/>
          <w:bCs/>
          <w:color w:val="6D17CE"/>
          <w:sz w:val="23"/>
          <w:szCs w:val="23"/>
        </w:rPr>
        <w:t xml:space="preserve">Make barge‑in over the greeting work</w:t>
      </w:r>
    </w:p>
    <w:p>
      <w:pPr>
        <w:spacing w:after="120"/>
      </w:pPr>
      <w:r>
        <w:rPr>
          <w:rFonts w:ascii="Arial" w:cs="Arial" w:eastAsia="Arial" w:hAnsi="Arial"/>
          <w:color w:val="1A1A1A"/>
          <w:sz w:val="22"/>
          <w:szCs w:val="22"/>
        </w:rPr>
        <w:t xml:space="preserve">Speech during the welcome greeting must be captured and responded to, not silently dropped. This is the worst‑rated moment in the field study and we have not yet addressed it.</w:t>
      </w:r>
    </w:p>
    <w:p>
      <w:pPr>
        <w:pStyle w:val="Heading3"/>
        <w:spacing w:after="100" w:before="220"/>
      </w:pPr>
      <w:r>
        <w:rPr>
          <w:rFonts w:ascii="Arial" w:cs="Arial" w:eastAsia="Arial" w:hAnsi="Arial"/>
          <w:b/>
          <w:bCs/>
          <w:color w:val="6D17CE"/>
          <w:sz w:val="23"/>
          <w:szCs w:val="23"/>
        </w:rPr>
        <w:t xml:space="preserve">A listening signal that is not transcription</w:t>
      </w:r>
    </w:p>
    <w:p>
      <w:pPr>
        <w:spacing w:after="120"/>
      </w:pPr>
      <w:r>
        <w:rPr>
          <w:rFonts w:ascii="Arial" w:cs="Arial" w:eastAsia="Arial" w:hAnsi="Arial"/>
          <w:color w:val="1A1A1A"/>
          <w:sz w:val="22"/>
          <w:szCs w:val="22"/>
        </w:rPr>
        <w:t xml:space="preserve">An orb pulse or ring animation that fires the moment the mic is live and remains visible during transcription. The current 2‑second text fade gets overwritten by the live transcript bubble.</w:t>
      </w:r>
    </w:p>
    <w:p>
      <w:pPr>
        <w:pStyle w:val="Heading3"/>
        <w:spacing w:after="100" w:before="220"/>
      </w:pPr>
      <w:r>
        <w:rPr>
          <w:rFonts w:ascii="Arial" w:cs="Arial" w:eastAsia="Arial" w:hAnsi="Arial"/>
          <w:b/>
          <w:bCs/>
          <w:color w:val="6D17CE"/>
          <w:sz w:val="23"/>
          <w:szCs w:val="23"/>
        </w:rPr>
        <w:t xml:space="preserve">Long‑prompt recovery</w:t>
      </w:r>
    </w:p>
    <w:p>
      <w:pPr>
        <w:spacing w:after="120"/>
      </w:pPr>
      <w:r>
        <w:rPr>
          <w:rFonts w:ascii="Arial" w:cs="Arial" w:eastAsia="Arial" w:hAnsi="Arial"/>
          <w:color w:val="1A1A1A"/>
          <w:sz w:val="22"/>
          <w:szCs w:val="22"/>
        </w:rPr>
        <w:t xml:space="preserve">If a phone call interrupts a 5‑minute voice prompt, the user comes back to a draft they can resume. Round 1 named this as the single most painful experience.</w:t>
      </w:r>
    </w:p>
    <w:p>
      <w:pPr>
        <w:pStyle w:val="Heading3"/>
        <w:spacing w:after="100" w:before="220"/>
      </w:pPr>
      <w:r>
        <w:rPr>
          <w:rFonts w:ascii="Arial" w:cs="Arial" w:eastAsia="Arial" w:hAnsi="Arial"/>
          <w:b/>
          <w:bCs/>
          <w:color w:val="6D17CE"/>
          <w:sz w:val="23"/>
          <w:szCs w:val="23"/>
        </w:rPr>
        <w:t xml:space="preserve">Muted‑state cleanup</w:t>
      </w:r>
    </w:p>
    <w:p>
      <w:pPr>
        <w:spacing w:after="120"/>
      </w:pPr>
      <w:r>
        <w:rPr>
          <w:rFonts w:ascii="Arial" w:cs="Arial" w:eastAsia="Arial" w:hAnsi="Arial"/>
          <w:color w:val="1A1A1A"/>
          <w:sz w:val="22"/>
          <w:szCs w:val="22"/>
        </w:rPr>
        <w:t xml:space="preserve">Explicit visibility rules so the "Say something…" placeholder cannot leak through on mute. The mute redesign was strong; this is the last contradicting copy.</w:t>
      </w:r>
    </w:p>
    <w:p>
      <w:pPr>
        <w:pStyle w:val="Heading3"/>
        <w:spacing w:after="100" w:before="220"/>
      </w:pPr>
      <w:r>
        <w:rPr>
          <w:rFonts w:ascii="Arial" w:cs="Arial" w:eastAsia="Arial" w:hAnsi="Arial"/>
          <w:b/>
          <w:bCs/>
          <w:color w:val="6D17CE"/>
          <w:sz w:val="23"/>
          <w:szCs w:val="23"/>
        </w:rPr>
        <w:t xml:space="preserve">Wave / EQ‑bar icon decision</w:t>
      </w:r>
    </w:p>
    <w:p>
      <w:pPr>
        <w:spacing w:after="120"/>
      </w:pPr>
      <w:r>
        <w:rPr>
          <w:rFonts w:ascii="Arial" w:cs="Arial" w:eastAsia="Arial" w:hAnsi="Arial"/>
          <w:color w:val="1A1A1A"/>
          <w:sz w:val="22"/>
          <w:szCs w:val="22"/>
        </w:rPr>
        <w:t xml:space="preserve">Round 1 surfaced three different readings of the wave icon (two‑way conversation, WhatsApp waveform, emoji). We need to keep, relabel, or replace, and document the rationale before Track A.</w:t>
      </w:r>
    </w:p>
    <w:p>
      <w:pPr>
        <w:pStyle w:val="Heading1"/>
        <w:spacing w:after="160" w:before="360"/>
      </w:pPr>
      <w:r>
        <w:rPr>
          <w:rFonts w:ascii="Arial" w:cs="Arial" w:eastAsia="Arial" w:hAnsi="Arial"/>
          <w:b/>
          <w:bCs/>
          <w:color w:val="1A1A1A"/>
          <w:sz w:val="34"/>
          <w:szCs w:val="34"/>
        </w:rPr>
        <w:t xml:space="preserve">7. Round 2 research plan</w:t>
      </w:r>
    </w:p>
    <w:p>
      <w:pPr>
        <w:spacing w:after="120"/>
      </w:pPr>
      <w:r>
        <w:rPr>
          <w:rFonts w:ascii="Arial" w:cs="Arial" w:eastAsia="Arial" w:hAnsi="Arial"/>
          <w:color w:val="1A1A1A"/>
          <w:sz w:val="22"/>
          <w:szCs w:val="22"/>
        </w:rPr>
        <w:t xml:space="preserve">Two parallel tracks. Track A validates the fixes from Section 6. Track B falsifies the Path A bet.</w:t>
      </w:r>
    </w:p>
    <w:p>
      <w:pPr>
        <w:pStyle w:val="Heading2"/>
        <w:spacing w:after="120" w:before="280"/>
      </w:pPr>
      <w:r>
        <w:rPr>
          <w:rFonts w:ascii="Arial" w:cs="Arial" w:eastAsia="Arial" w:hAnsi="Arial"/>
          <w:b/>
          <w:bCs/>
          <w:color w:val="1A1A1A"/>
          <w:sz w:val="26"/>
          <w:szCs w:val="26"/>
        </w:rPr>
        <w:t xml:space="preserve">Track A — UI validation</w:t>
      </w:r>
    </w:p>
    <w:p>
      <w:pPr>
        <w:spacing w:after="80"/>
      </w:pPr>
      <w:r>
        <w:rPr>
          <w:rFonts w:ascii="Arial" w:cs="Arial" w:eastAsia="Arial" w:hAnsi="Arial"/>
          <w:i/>
          <w:iCs/>
          <w:color w:val="5A5A5A"/>
          <w:sz w:val="20"/>
          <w:szCs w:val="20"/>
        </w:rPr>
        <w:t xml:space="preserve">~8 participants, T1/T2 mix, 45‑minute sessions, run in Week 3 on the integrated build.</w:t>
      </w:r>
    </w:p>
    <w:p>
      <w:pPr>
        <w:pStyle w:val="ListParagraph"/>
        <w:numPr>
          <w:ilvl w:val="0"/>
          <w:numId w:val="2"/>
        </w:numPr>
        <w:spacing w:after="80"/>
      </w:pPr>
      <w:r>
        <w:rPr>
          <w:rFonts w:ascii="Arial" w:cs="Arial" w:eastAsia="Arial" w:hAnsi="Arial"/>
          <w:color w:val="1A1A1A"/>
          <w:sz w:val="22"/>
          <w:szCs w:val="22"/>
        </w:rPr>
        <w:t xml:space="preserve">Does the reframed home screen shift the read from "topic menu" to "voice assistant"?</w:t>
      </w:r>
    </w:p>
    <w:p>
      <w:pPr>
        <w:pStyle w:val="ListParagraph"/>
        <w:numPr>
          <w:ilvl w:val="0"/>
          <w:numId w:val="2"/>
        </w:numPr>
        <w:spacing w:after="80"/>
      </w:pPr>
      <w:r>
        <w:rPr>
          <w:rFonts w:ascii="Arial" w:cs="Arial" w:eastAsia="Arial" w:hAnsi="Arial"/>
          <w:color w:val="1A1A1A"/>
          <w:sz w:val="22"/>
          <w:szCs w:val="22"/>
        </w:rPr>
        <w:t xml:space="preserve">Is the new mute state read as "off" or just "quieter"? Does the audio cue help?</w:t>
      </w:r>
    </w:p>
    <w:p>
      <w:pPr>
        <w:pStyle w:val="ListParagraph"/>
        <w:numPr>
          <w:ilvl w:val="0"/>
          <w:numId w:val="2"/>
        </w:numPr>
        <w:spacing w:after="80"/>
      </w:pPr>
      <w:r>
        <w:rPr>
          <w:rFonts w:ascii="Arial" w:cs="Arial" w:eastAsia="Arial" w:hAnsi="Arial"/>
          <w:color w:val="1A1A1A"/>
          <w:sz w:val="22"/>
          <w:szCs w:val="22"/>
        </w:rPr>
        <w:t xml:space="preserve">Does barge‑in actually let users talk over the greeting without feeling dropped?</w:t>
      </w:r>
    </w:p>
    <w:p>
      <w:pPr>
        <w:pStyle w:val="ListParagraph"/>
        <w:numPr>
          <w:ilvl w:val="0"/>
          <w:numId w:val="2"/>
        </w:numPr>
        <w:spacing w:after="80"/>
      </w:pPr>
      <w:r>
        <w:rPr>
          <w:rFonts w:ascii="Arial" w:cs="Arial" w:eastAsia="Arial" w:hAnsi="Arial"/>
          <w:color w:val="1A1A1A"/>
          <w:sz w:val="22"/>
          <w:szCs w:val="22"/>
        </w:rPr>
        <w:t xml:space="preserve">Does the new listening signal land for eager speakers, or still get missed?</w:t>
      </w:r>
    </w:p>
    <w:p>
      <w:pPr>
        <w:pStyle w:val="ListParagraph"/>
        <w:numPr>
          <w:ilvl w:val="0"/>
          <w:numId w:val="2"/>
        </w:numPr>
        <w:spacing w:after="80"/>
      </w:pPr>
      <w:r>
        <w:rPr>
          <w:rFonts w:ascii="Arial" w:cs="Arial" w:eastAsia="Arial" w:hAnsi="Arial"/>
          <w:color w:val="1A1A1A"/>
          <w:sz w:val="22"/>
          <w:szCs w:val="22"/>
        </w:rPr>
        <w:t xml:space="preserve">Does the muted placeholder cleanup remove the contradicting copy?</w:t>
      </w:r>
    </w:p>
    <w:p>
      <w:pPr>
        <w:pStyle w:val="ListParagraph"/>
        <w:numPr>
          <w:ilvl w:val="0"/>
          <w:numId w:val="2"/>
        </w:numPr>
        <w:spacing w:after="80"/>
      </w:pPr>
      <w:r>
        <w:rPr>
          <w:rFonts w:ascii="Arial" w:cs="Arial" w:eastAsia="Arial" w:hAnsi="Arial"/>
          <w:color w:val="1A1A1A"/>
          <w:sz w:val="22"/>
          <w:szCs w:val="22"/>
        </w:rPr>
        <w:t xml:space="preserve">Is the wave / EQ‑bar icon resolved, or still ambiguous?</w:t>
      </w:r>
    </w:p>
    <w:p>
      <w:pPr>
        <w:pStyle w:val="Heading2"/>
        <w:spacing w:after="120" w:before="280"/>
      </w:pPr>
      <w:r>
        <w:rPr>
          <w:rFonts w:ascii="Arial" w:cs="Arial" w:eastAsia="Arial" w:hAnsi="Arial"/>
          <w:b/>
          <w:bCs/>
          <w:color w:val="1A1A1A"/>
          <w:sz w:val="26"/>
          <w:szCs w:val="26"/>
        </w:rPr>
        <w:t xml:space="preserve">Track B — Strategic falsification of the narrow bet</w:t>
      </w:r>
    </w:p>
    <w:p>
      <w:pPr>
        <w:spacing w:after="80"/>
      </w:pPr>
      <w:r>
        <w:rPr>
          <w:rFonts w:ascii="Arial" w:cs="Arial" w:eastAsia="Arial" w:hAnsi="Arial"/>
          <w:i/>
          <w:iCs/>
          <w:color w:val="5A5A5A"/>
          <w:sz w:val="20"/>
          <w:szCs w:val="20"/>
        </w:rPr>
        <w:t xml:space="preserve">~20–30 participants across Lucknow / Indore / Coimbatore (or equivalents), 3‑week field study.</w:t>
      </w:r>
    </w:p>
    <w:p>
      <w:pPr>
        <w:pStyle w:val="ListParagraph"/>
        <w:numPr>
          <w:ilvl w:val="0"/>
          <w:numId w:val="2"/>
        </w:numPr>
        <w:spacing w:after="80"/>
      </w:pPr>
      <w:r>
        <w:rPr>
          <w:rFonts w:ascii="Arial" w:cs="Arial" w:eastAsia="Arial" w:hAnsi="Arial"/>
          <w:color w:val="1A1A1A"/>
          <w:sz w:val="22"/>
          <w:szCs w:val="22"/>
        </w:rPr>
        <w:t xml:space="preserve">Language‑mix diary across 200+ real utterances: % Hinglish, pure Hindi, regional, English. What does the system actually need to handle?</w:t>
      </w:r>
    </w:p>
    <w:p>
      <w:pPr>
        <w:pStyle w:val="ListParagraph"/>
        <w:numPr>
          <w:ilvl w:val="0"/>
          <w:numId w:val="2"/>
        </w:numPr>
        <w:spacing w:after="80"/>
      </w:pPr>
      <w:r>
        <w:rPr>
          <w:rFonts w:ascii="Arial" w:cs="Arial" w:eastAsia="Arial" w:hAnsi="Arial"/>
          <w:color w:val="1A1A1A"/>
          <w:sz w:val="22"/>
          <w:szCs w:val="22"/>
        </w:rPr>
        <w:t xml:space="preserve">ASR accuracy on real T2/T3 accents with code‑mixing and ambient noise. Word error rate against Google Assistant and Whisper baselines.</w:t>
      </w:r>
    </w:p>
    <w:p>
      <w:pPr>
        <w:pStyle w:val="ListParagraph"/>
        <w:numPr>
          <w:ilvl w:val="0"/>
          <w:numId w:val="2"/>
        </w:numPr>
        <w:spacing w:after="80"/>
      </w:pPr>
      <w:r>
        <w:rPr>
          <w:rFonts w:ascii="Arial" w:cs="Arial" w:eastAsia="Arial" w:hAnsi="Arial"/>
          <w:color w:val="1A1A1A"/>
          <w:sz w:val="22"/>
          <w:szCs w:val="22"/>
        </w:rPr>
        <w:t xml:space="preserve">Transactional willingness by ticket size and category: ₹50 coffee vs ₹500 plumber vs ₹5,000 kurta. Where does voice payment feel safe?</w:t>
      </w:r>
    </w:p>
    <w:p>
      <w:pPr>
        <w:pStyle w:val="ListParagraph"/>
        <w:numPr>
          <w:ilvl w:val="0"/>
          <w:numId w:val="2"/>
        </w:numPr>
        <w:spacing w:after="80"/>
      </w:pPr>
      <w:r>
        <w:rPr>
          <w:rFonts w:ascii="Arial" w:cs="Arial" w:eastAsia="Arial" w:hAnsi="Arial"/>
          <w:color w:val="1A1A1A"/>
          <w:sz w:val="22"/>
          <w:szCs w:val="22"/>
        </w:rPr>
        <w:t xml:space="preserve">Shared‑phone / joint‑family privacy: what happens when "confirm payment" is said aloud in a household context.</w:t>
      </w:r>
    </w:p>
    <w:p>
      <w:pPr>
        <w:pStyle w:val="ListParagraph"/>
        <w:numPr>
          <w:ilvl w:val="0"/>
          <w:numId w:val="2"/>
        </w:numPr>
        <w:spacing w:after="80"/>
      </w:pPr>
      <w:r>
        <w:rPr>
          <w:rFonts w:ascii="Arial" w:cs="Arial" w:eastAsia="Arial" w:hAnsi="Arial"/>
          <w:color w:val="1A1A1A"/>
          <w:sz w:val="22"/>
          <w:szCs w:val="22"/>
        </w:rPr>
        <w:t xml:space="preserve">Competitive displacement: when users have Meta AI in WhatsApp already, why would they open JBIQ?</w:t>
      </w:r>
    </w:p>
    <w:p>
      <w:pPr>
        <w:pStyle w:val="ListParagraph"/>
        <w:numPr>
          <w:ilvl w:val="0"/>
          <w:numId w:val="2"/>
        </w:numPr>
        <w:spacing w:after="80"/>
      </w:pPr>
      <w:r>
        <w:rPr>
          <w:rFonts w:ascii="Arial" w:cs="Arial" w:eastAsia="Arial" w:hAnsi="Arial"/>
          <w:color w:val="1A1A1A"/>
          <w:sz w:val="22"/>
          <w:szCs w:val="22"/>
        </w:rPr>
        <w:t xml:space="preserve">Trust &amp; brand perception: does Jio‑backed feel reassuring (payment ecosystem) or concerning (surveillance baggage)?</w:t>
      </w:r>
    </w:p>
    <w:p>
      <w:pPr>
        <w:pStyle w:val="ListParagraph"/>
        <w:numPr>
          <w:ilvl w:val="0"/>
          <w:numId w:val="2"/>
        </w:numPr>
        <w:spacing w:after="80"/>
      </w:pPr>
      <w:r>
        <w:rPr>
          <w:rFonts w:ascii="Arial" w:cs="Arial" w:eastAsia="Arial" w:hAnsi="Arial"/>
          <w:color w:val="1A1A1A"/>
          <w:sz w:val="22"/>
          <w:szCs w:val="22"/>
        </w:rPr>
        <w:t xml:space="preserve">Government scheme / civic information demand: for users who currently can't read the portal, what would they ask, and how often?</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17CE" w:sz="12"/>
              <w:left w:val="single" w:color="EFE7FA" w:sz="4"/>
              <w:bottom w:val="single" w:color="EFE7FA" w:sz="4"/>
              <w:right w:val="single" w:color="EFE7FA" w:sz="4"/>
            </w:tcBorders>
            <w:shd w:fill="EFE7FA" w:val="clear"/>
            <w:tcMar>
              <w:top w:type="dxa" w:w="160"/>
              <w:left w:type="dxa" w:w="200"/>
              <w:bottom w:type="dxa" w:w="160"/>
              <w:right w:type="dxa" w:w="200"/>
            </w:tcMar>
          </w:tcPr>
          <w:p>
            <w:pPr>
              <w:spacing w:after="60"/>
            </w:pPr>
            <w:r>
              <w:rPr>
                <w:rFonts w:ascii="Arial" w:cs="Arial" w:eastAsia="Arial" w:hAnsi="Arial"/>
                <w:b/>
                <w:bCs/>
                <w:color w:val="6D17CE"/>
                <w:sz w:val="20"/>
                <w:szCs w:val="20"/>
              </w:rPr>
              <w:t xml:space="preserve">Why two tracks at once</w:t>
            </w:r>
          </w:p>
          <w:p>
            <w:r>
              <w:rPr>
                <w:rFonts w:ascii="Arial" w:cs="Arial" w:eastAsia="Arial" w:hAnsi="Arial"/>
                <w:color w:val="1A1A1A"/>
                <w:sz w:val="22"/>
                <w:szCs w:val="22"/>
              </w:rPr>
              <w:t xml:space="preserve">Track A tells us whether the fixes work. Track B tells us whether we are fixing the right product. Running them in parallel gets us to a defensible V2 in a single research cycle, not two.</w:t>
            </w:r>
          </w:p>
        </w:tc>
      </w:tr>
    </w:tbl>
    <w:p>
      <w:pPr>
        <w:pStyle w:val="Heading1"/>
        <w:spacing w:after="160" w:before="360"/>
      </w:pPr>
      <w:r>
        <w:rPr>
          <w:rFonts w:ascii="Arial" w:cs="Arial" w:eastAsia="Arial" w:hAnsi="Arial"/>
          <w:b/>
          <w:bCs/>
          <w:color w:val="1A1A1A"/>
          <w:sz w:val="34"/>
          <w:szCs w:val="34"/>
        </w:rPr>
        <w:t xml:space="preserve">8. The plan, in phases</w:t>
      </w:r>
    </w:p>
    <w:p>
      <w:pPr>
        <w:spacing w:after="120"/>
      </w:pPr>
      <w:r>
        <w:rPr>
          <w:rFonts w:ascii="Arial" w:cs="Arial" w:eastAsia="Arial" w:hAnsi="Arial"/>
          <w:color w:val="1A1A1A"/>
          <w:sz w:val="22"/>
          <w:szCs w:val="22"/>
        </w:rPr>
        <w:t xml:space="preserve">Each phase builds on the one before. Phases run consecutively for the strategic and research work; UX design and research recruiting can begin earlier and run alongside.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5660"/>
      </w:tblGrid>
      <w:tr>
        <w:trPr>
          <w:tblHeader/>
        </w:trPr>
        <w:tc>
          <w:tcPr>
            <w:tcW w:type="dxa" w:w="10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Phase</w:t>
            </w:r>
          </w:p>
        </w:tc>
        <w:tc>
          <w:tcPr>
            <w:tcW w:type="dxa" w:w="27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What it is</w:t>
            </w:r>
          </w:p>
        </w:tc>
        <w:tc>
          <w:tcPr>
            <w:tcW w:type="dxa" w:w="566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What happens in this phase</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1</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Align on direction</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Make the strategic call on Path A vs Path B. Decide whether Confirm &amp; Pay is a real launch pillar or a concept demo. Pick the recruiting model (in-house or research partner) and start sourcing for both research tracks. Begin drafting Track-A and Track-B discussion guides.</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2</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Lock the UX response</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Reframe the home screen as voice-first. Spec barge-in over the greeting, the new listening signal, the muted-state cleanup, and make the wave / EQ-bar decision with documented rationale. Finalise both Round-2 discussion guides.</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3</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Validate the fixes</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Run Track-A sessions on the integrated build with ~8 participants across T1/T2. First-pass synthesis from Track-A. Begin Track-B field deployment in T2/T3 cities.</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4</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Test the strategic bet</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Track-B runs in full across T2/T3. Capture ASR accuracy, language mix, transactional willingness, privacy thresholds, and competitive displacement evidence. Track-A findings feed iteration on the UX response.</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5</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Synthesise and position</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Synthesise Round 2 across both tracks. Answer Path A vs Path B with evidence. Produce a V2 positioning statement and a pruned product scope, ready for the launch conversation.</w:t>
            </w:r>
          </w:p>
        </w:tc>
      </w:tr>
    </w:tbl>
    <w:p>
      <w:pPr>
        <w:pStyle w:val="Heading1"/>
        <w:spacing w:after="160" w:before="360"/>
      </w:pPr>
      <w:r>
        <w:rPr>
          <w:rFonts w:ascii="Arial" w:cs="Arial" w:eastAsia="Arial" w:hAnsi="Arial"/>
          <w:b/>
          <w:bCs/>
          <w:color w:val="1A1A1A"/>
          <w:sz w:val="34"/>
          <w:szCs w:val="34"/>
        </w:rPr>
        <w:t xml:space="preserve">9. Decisions we need from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Decision</w:t>
            </w:r>
          </w:p>
        </w:tc>
        <w:tc>
          <w:tcPr>
            <w:tcW w:type="dxa" w:w="486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Why we need this from the team</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Path A (narrow) or Path B (broad)?</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Gates every scope, design and research decision below. Without the call, Round-2 research can't be sharpened, and the home screen reframe stalls.</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Is Confirm &amp; Pay a real launch pillar?</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If yes, transactional voice flows become a top-priority research and design theme. If no, we down-weight commerce in Track-B and treat the Bru flow as a concept demo.</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Recruiting model — in-house or research partner?</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T2/T3 recruiting in Lucknow / Indore / Coimbatore has a meaningful lead time. If we need an agency, sourcing should start as soon as the model is decided.</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What does "voice-first" mean on the home screen?</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We need a north-star voice-first framing to design against — overlay, reframed assistant row, or a different model. This is the highest-leverage UX call post Round 1.</w:t>
            </w:r>
          </w:p>
        </w:tc>
      </w:tr>
    </w:tbl>
    <w:p>
      <w:pPr>
        <w:pStyle w:val="Heading1"/>
        <w:spacing w:after="160" w:before="360"/>
      </w:pPr>
      <w:r>
        <w:rPr>
          <w:rFonts w:ascii="Arial" w:cs="Arial" w:eastAsia="Arial" w:hAnsi="Arial"/>
          <w:b/>
          <w:bCs/>
          <w:color w:val="1A1A1A"/>
          <w:sz w:val="34"/>
          <w:szCs w:val="34"/>
        </w:rPr>
        <w:t xml:space="preserve">10. Risks to the thesis</w:t>
      </w:r>
    </w:p>
    <w:p>
      <w:pPr>
        <w:pStyle w:val="ListParagraph"/>
        <w:numPr>
          <w:ilvl w:val="0"/>
          <w:numId w:val="2"/>
        </w:numPr>
        <w:spacing w:after="80"/>
      </w:pPr>
      <w:r>
        <w:rPr>
          <w:rFonts w:ascii="Arial" w:cs="Arial" w:eastAsia="Arial" w:hAnsi="Arial"/>
          <w:b/>
          <w:bCs/>
          <w:color w:val="1A1A1A"/>
          <w:sz w:val="22"/>
          <w:szCs w:val="22"/>
        </w:rPr>
        <w:t xml:space="preserve">Voice‑AI novelty wears off before utility lands. </w:t>
      </w:r>
      <w:r>
        <w:rPr>
          <w:rFonts w:ascii="Arial" w:cs="Arial" w:eastAsia="Arial" w:hAnsi="Arial"/>
          <w:color w:val="1A1A1A"/>
          <w:sz w:val="22"/>
          <w:szCs w:val="22"/>
        </w:rPr>
        <w:t xml:space="preserve">If voice‑order takes 45 seconds and Swiggy takes 30, JBIQ loses on the metric users actually care about. Track B has to test perceived speed, not just task completion.</w:t>
      </w:r>
    </w:p>
    <w:p>
      <w:pPr>
        <w:pStyle w:val="ListParagraph"/>
        <w:numPr>
          <w:ilvl w:val="0"/>
          <w:numId w:val="2"/>
        </w:numPr>
        <w:spacing w:after="80"/>
      </w:pPr>
      <w:r>
        <w:rPr>
          <w:rFonts w:ascii="Arial" w:cs="Arial" w:eastAsia="Arial" w:hAnsi="Arial"/>
          <w:b/>
          <w:bCs/>
          <w:color w:val="1A1A1A"/>
          <w:sz w:val="22"/>
          <w:szCs w:val="22"/>
        </w:rPr>
        <w:t xml:space="preserve">RBI tightens voice‑payment rules. </w:t>
      </w:r>
      <w:r>
        <w:rPr>
          <w:rFonts w:ascii="Arial" w:cs="Arial" w:eastAsia="Arial" w:hAnsi="Arial"/>
          <w:color w:val="1A1A1A"/>
          <w:sz w:val="22"/>
          <w:szCs w:val="22"/>
        </w:rPr>
        <w:t xml:space="preserve">SIM‑swap and voice‑spoof concerns may force added friction or caps. The commerce thesis narrows accordingly. Path A's resilience here is strong because the high‑value flows are status checks and small‑ticket utilities, not high‑value transactions.</w:t>
      </w:r>
    </w:p>
    <w:p>
      <w:pPr>
        <w:pStyle w:val="ListParagraph"/>
        <w:numPr>
          <w:ilvl w:val="0"/>
          <w:numId w:val="2"/>
        </w:numPr>
        <w:spacing w:after="80"/>
      </w:pPr>
      <w:r>
        <w:rPr>
          <w:rFonts w:ascii="Arial" w:cs="Arial" w:eastAsia="Arial" w:hAnsi="Arial"/>
          <w:b/>
          <w:bCs/>
          <w:color w:val="1A1A1A"/>
          <w:sz w:val="22"/>
          <w:szCs w:val="22"/>
        </w:rPr>
        <w:t xml:space="preserve">Accent and dialect coverage gaps. </w:t>
      </w:r>
      <w:r>
        <w:rPr>
          <w:rFonts w:ascii="Arial" w:cs="Arial" w:eastAsia="Arial" w:hAnsi="Arial"/>
          <w:color w:val="1A1A1A"/>
          <w:sz w:val="22"/>
          <w:szCs w:val="22"/>
        </w:rPr>
        <w:t xml:space="preserve">"It doesn't understand me" is harder churn to reverse than "it's slow." The ASR benchmark in Track B has to come back honest.</w:t>
      </w:r>
    </w:p>
    <w:p>
      <w:pPr>
        <w:pStyle w:val="ListParagraph"/>
        <w:numPr>
          <w:ilvl w:val="0"/>
          <w:numId w:val="2"/>
        </w:numPr>
        <w:spacing w:after="80"/>
      </w:pPr>
      <w:r>
        <w:rPr>
          <w:rFonts w:ascii="Arial" w:cs="Arial" w:eastAsia="Arial" w:hAnsi="Arial"/>
          <w:b/>
          <w:bCs/>
          <w:color w:val="1A1A1A"/>
          <w:sz w:val="22"/>
          <w:szCs w:val="22"/>
        </w:rPr>
        <w:t xml:space="preserve">Always‑on mic meets DPDP and Pegasus‑era wariness. </w:t>
      </w:r>
      <w:r>
        <w:rPr>
          <w:rFonts w:ascii="Arial" w:cs="Arial" w:eastAsia="Arial" w:hAnsi="Arial"/>
          <w:color w:val="1A1A1A"/>
          <w:sz w:val="22"/>
          <w:szCs w:val="22"/>
        </w:rPr>
        <w:t xml:space="preserve">A single data‑breach incident will stall adoption in privacy‑conscious metros. The mute redesign helps; the brand and policy work will matter just as much.</w:t>
      </w:r>
    </w:p>
    <w:p>
      <w:pPr>
        <w:pStyle w:val="ListParagraph"/>
        <w:numPr>
          <w:ilvl w:val="0"/>
          <w:numId w:val="2"/>
        </w:numPr>
        <w:spacing w:after="80"/>
      </w:pPr>
      <w:r>
        <w:rPr>
          <w:rFonts w:ascii="Arial" w:cs="Arial" w:eastAsia="Arial" w:hAnsi="Arial"/>
          <w:b/>
          <w:bCs/>
          <w:color w:val="1A1A1A"/>
          <w:sz w:val="22"/>
          <w:szCs w:val="22"/>
        </w:rPr>
        <w:t xml:space="preserve">Commoditisation by Meta AI in WhatsApp + Bhashini. </w:t>
      </w:r>
      <w:r>
        <w:rPr>
          <w:rFonts w:ascii="Arial" w:cs="Arial" w:eastAsia="Arial" w:hAnsi="Arial"/>
          <w:color w:val="1A1A1A"/>
          <w:sz w:val="22"/>
          <w:szCs w:val="22"/>
        </w:rPr>
        <w:t xml:space="preserve">The defensible moat has to be unique access to local and transactional data, not "better conversation." Path A leans into this; Path B fights it head‑on.</w:t>
      </w:r>
    </w:p>
    <w:p>
      <w:pPr>
        <w:pStyle w:val="Heading1"/>
        <w:spacing w:after="160" w:before="360"/>
      </w:pPr>
      <w:r>
        <w:rPr>
          <w:rFonts w:ascii="Arial" w:cs="Arial" w:eastAsia="Arial" w:hAnsi="Arial"/>
          <w:b/>
          <w:bCs/>
          <w:color w:val="1A1A1A"/>
          <w:sz w:val="34"/>
          <w:szCs w:val="34"/>
        </w:rPr>
        <w:t xml:space="preserve">11. What success looks like</w:t>
      </w:r>
    </w:p>
    <w:p>
      <w:pPr>
        <w:pStyle w:val="ListParagraph"/>
        <w:numPr>
          <w:ilvl w:val="0"/>
          <w:numId w:val="2"/>
        </w:numPr>
        <w:spacing w:after="80"/>
      </w:pPr>
      <w:r>
        <w:rPr>
          <w:rFonts w:ascii="Arial" w:cs="Arial" w:eastAsia="Arial" w:hAnsi="Arial"/>
          <w:color w:val="1A1A1A"/>
          <w:sz w:val="22"/>
          <w:szCs w:val="22"/>
        </w:rPr>
        <w:t xml:space="preserve">A clear, written answer to Path A vs Path B, backed by Round‑2 evidence.</w:t>
      </w:r>
    </w:p>
    <w:p>
      <w:pPr>
        <w:pStyle w:val="ListParagraph"/>
        <w:numPr>
          <w:ilvl w:val="0"/>
          <w:numId w:val="2"/>
        </w:numPr>
        <w:spacing w:after="80"/>
      </w:pPr>
      <w:r>
        <w:rPr>
          <w:rFonts w:ascii="Arial" w:cs="Arial" w:eastAsia="Arial" w:hAnsi="Arial"/>
          <w:color w:val="1A1A1A"/>
          <w:sz w:val="22"/>
          <w:szCs w:val="22"/>
        </w:rPr>
        <w:t xml:space="preserve">The Round‑1 research debt is closed: barge‑in works, the home screen reads as voice‑first, the listening signal is unmissable, long prompts survive an interruption.</w:t>
      </w:r>
    </w:p>
    <w:p>
      <w:pPr>
        <w:pStyle w:val="ListParagraph"/>
        <w:numPr>
          <w:ilvl w:val="0"/>
          <w:numId w:val="2"/>
        </w:numPr>
        <w:spacing w:after="80"/>
      </w:pPr>
      <w:r>
        <w:rPr>
          <w:rFonts w:ascii="Arial" w:cs="Arial" w:eastAsia="Arial" w:hAnsi="Arial"/>
          <w:color w:val="1A1A1A"/>
          <w:sz w:val="22"/>
          <w:szCs w:val="22"/>
        </w:rPr>
        <w:t xml:space="preserve">A V2 positioning statement and a pruned product scope — built around the user moments in Section 4 — ready for the launch conversation, not around it.</w:t>
      </w:r>
    </w:p>
    <w:p>
      <w:pPr>
        <w:pStyle w:val="ListParagraph"/>
        <w:numPr>
          <w:ilvl w:val="0"/>
          <w:numId w:val="2"/>
        </w:numPr>
        <w:spacing w:after="80"/>
      </w:pPr>
      <w:r>
        <w:rPr>
          <w:rFonts w:ascii="Arial" w:cs="Arial" w:eastAsia="Arial" w:hAnsi="Arial"/>
          <w:color w:val="1A1A1A"/>
          <w:sz w:val="22"/>
          <w:szCs w:val="22"/>
        </w:rPr>
        <w:t xml:space="preserve">Field evidence from T2/T3 cities that tells us, with confidence, where JBIQ wins and where it doesn't.</w:t>
      </w:r>
    </w:p>
    <w:p>
      <w:r>
        <w:br w:type="page"/>
      </w:r>
    </w:p>
    <w:p>
      <w:pPr>
        <w:pStyle w:val="Heading1"/>
        <w:spacing w:after="160" w:before="360"/>
      </w:pPr>
      <w:r>
        <w:rPr>
          <w:rFonts w:ascii="Arial" w:cs="Arial" w:eastAsia="Arial" w:hAnsi="Arial"/>
          <w:b/>
          <w:bCs/>
          <w:color w:val="1A1A1A"/>
          <w:sz w:val="34"/>
          <w:szCs w:val="34"/>
        </w:rPr>
        <w:t xml:space="preserve">Appendix — Round‑1 findings vs current state</w:t>
      </w:r>
    </w:p>
    <w:p>
      <w:pPr>
        <w:spacing w:after="80"/>
      </w:pPr>
      <w:r>
        <w:rPr>
          <w:rFonts w:ascii="Arial" w:cs="Arial" w:eastAsia="Arial" w:hAnsi="Arial"/>
          <w:i/>
          <w:iCs/>
          <w:color w:val="5A5A5A"/>
          <w:sz w:val="20"/>
          <w:szCs w:val="20"/>
        </w:rPr>
        <w:t xml:space="preserve">Honest mapping of every named field finding to the design that has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3460"/>
      </w:tblGrid>
      <w:tr>
        <w:trPr>
          <w:tblHeader/>
        </w:trPr>
        <w:tc>
          <w:tcPr>
            <w:tcW w:type="dxa" w:w="44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Round‑1 finding</w:t>
            </w:r>
          </w:p>
        </w:tc>
        <w:tc>
          <w:tcPr>
            <w:tcW w:type="dxa" w:w="15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Status</w:t>
            </w:r>
          </w:p>
        </w:tc>
        <w:tc>
          <w:tcPr>
            <w:tcW w:type="dxa" w:w="346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Note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Home screen communicates "voice‑first, here is where you begin"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Speak CTA landed on button; home narrative unchanged. Figma redesign reverted same‑day.</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Assistant row not read as entertainment / topic menu</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Labels unchanged (Astrology, Bollywood, Cricket, …).</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Petal has "tap to start talking" affordance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Petal removed; EQ bars + Speak label replaced it without an explicit affordance cue.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Tap‑first mental model respected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Home Speak CTA honours it at entry; not persisted into conversation.</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Barge‑in over the greeting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Speech during greeting still silently dropped. Highest‑value unfixed finding.</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Mute categorically different from listening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0B7A3E"/>
                <w:sz w:val="20"/>
                <w:szCs w:val="20"/>
              </w:rPr>
              <w:t xml:space="preserve">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Saturated orb, filled mic‑slash, two‑line splash, on/off sounds, animations paused.</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Mute copy no longer contradicts state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0B7A3E"/>
                <w:sz w:val="20"/>
                <w:szCs w:val="20"/>
              </w:rPr>
              <w:t xml:space="preserve">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statusText swapped to "Mic off. / You are muted."</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State cues replaced with something more immediate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Mute is immediate; listening is still a 2‑second text fade.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Wave‑icon ambiguity addressed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Switched to EQ bars without documented rationale.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Deliberate listening signal independent of transcription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Hint exists but is overwritten by live‑transcript bubble.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Long‑prompt transcription cutoff acknowledged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No chunking, warning, or mitigation.</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Incoming‑call / prompt‑loss recovery</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No draft save, no resume.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Background‑noise resilience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Spectral VAD solid for rumble and plosives; doesn't disambiguate other voices.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5A5A"/>
        <w:sz w:val="18"/>
        <w:szCs w:val="18"/>
      </w:rPr>
      <w:t xml:space="preserve">JBIQ — Strategy, Research &amp; UX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6D17C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JBIQ — Strategy, Research &amp; UX Plan</dc:title>
  <dc:creator>Matt Jarvis</dc:creator>
  <dc:description>Post Round-1 field study, for team alignment</dc:description>
  <cp:lastModifiedBy>Un-named</cp:lastModifiedBy>
  <cp:revision>1</cp:revision>
  <dcterms:created xsi:type="dcterms:W3CDTF">2026-04-27T09:33:16.563Z</dcterms:created>
  <dcterms:modified xsi:type="dcterms:W3CDTF">2026-04-27T09:33:16.564Z</dcterms:modified>
</cp:coreProperties>
</file>

<file path=docProps/custom.xml><?xml version="1.0" encoding="utf-8"?>
<Properties xmlns="http://schemas.openxmlformats.org/officeDocument/2006/custom-properties" xmlns:vt="http://schemas.openxmlformats.org/officeDocument/2006/docPropsVTypes"/>
</file>