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8F5B" w14:textId="6D5F3E82" w:rsidR="00801310" w:rsidRPr="00801310" w:rsidRDefault="00801310" w:rsidP="00801310">
      <w:pPr>
        <w:rPr>
          <w:b/>
          <w:bCs/>
          <w:sz w:val="24"/>
          <w:szCs w:val="24"/>
        </w:rPr>
      </w:pPr>
      <w:r w:rsidRPr="00801310">
        <w:rPr>
          <w:b/>
          <w:bCs/>
          <w:sz w:val="24"/>
          <w:szCs w:val="24"/>
        </w:rPr>
        <w:t>BIG IDEA</w:t>
      </w:r>
    </w:p>
    <w:p w14:paraId="2C2987F8" w14:textId="177C5E32" w:rsidR="00801310" w:rsidRPr="00801310" w:rsidRDefault="00801310" w:rsidP="00801310">
      <w:r w:rsidRPr="00801310">
        <w:t>The cost of U.S.-based senior data science talent is rapidly escalating, outstripping the price of offshore equivalents which remain available at roughly half the cost. To secure a high-impact leader before further market price hikes, companies should act now and budget between $140k–$180k for domestic hires or $75k–$100k for offshore talent.</w:t>
      </w:r>
    </w:p>
    <w:p w14:paraId="5457258D" w14:textId="77777777" w:rsidR="00801310" w:rsidRDefault="00801310" w:rsidP="00801310"/>
    <w:p w14:paraId="72C6CA06" w14:textId="34395B9D" w:rsidR="00801310" w:rsidRPr="00801310" w:rsidRDefault="00801310" w:rsidP="00801310">
      <w:pPr>
        <w:rPr>
          <w:b/>
          <w:bCs/>
          <w:sz w:val="24"/>
          <w:szCs w:val="24"/>
        </w:rPr>
      </w:pPr>
      <w:r w:rsidRPr="00801310">
        <w:rPr>
          <w:b/>
          <w:bCs/>
          <w:sz w:val="24"/>
          <w:szCs w:val="24"/>
        </w:rPr>
        <w:t>ELEVATOR TALK</w:t>
      </w:r>
    </w:p>
    <w:p w14:paraId="2A51923D" w14:textId="2718584B" w:rsidR="00801310" w:rsidRPr="00801310" w:rsidRDefault="00801310" w:rsidP="00801310">
      <w:r w:rsidRPr="00801310">
        <w:t>The market for senior data science talent is tightening fast, with U.S. salaries jumping 23% in just two years to a median of $140,000. We have a shrinking window to secure a foundational leader who can deliver immediate results and scale our future team before costs climb even higher.</w:t>
      </w:r>
    </w:p>
    <w:p w14:paraId="1663FEDC" w14:textId="77777777" w:rsidR="00801310" w:rsidRPr="00801310" w:rsidRDefault="00801310" w:rsidP="00801310">
      <w:r w:rsidRPr="00801310">
        <w:t>To stay competitive, we need to move decisively: we can either budget $140k–$180k for a top-tier U.S. hire or leverage the offshore market for high-quality talent at roughly half that cost ($75k–$100k). Every quarter we wait, the entry price rises, so I recommend we pull the trigger now to lock in today's rates and jumpstart our data capabilities.</w:t>
      </w:r>
    </w:p>
    <w:p w14:paraId="4842DEC6" w14:textId="77777777" w:rsidR="00EC677B" w:rsidRDefault="00EC677B"/>
    <w:sectPr w:rsidR="00EC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10"/>
    <w:rsid w:val="003C4DF8"/>
    <w:rsid w:val="00801310"/>
    <w:rsid w:val="00A43375"/>
    <w:rsid w:val="00CE3A4B"/>
    <w:rsid w:val="00EC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248D"/>
  <w15:chartTrackingRefBased/>
  <w15:docId w15:val="{DA180BBD-9884-4506-8C6C-43CAFD2B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0488-92BC-4788-B163-96914E3E0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</dc:creator>
  <cp:keywords/>
  <dc:description/>
  <cp:lastModifiedBy>Malcolm B</cp:lastModifiedBy>
  <cp:revision>1</cp:revision>
  <dcterms:created xsi:type="dcterms:W3CDTF">2026-04-20T03:31:00Z</dcterms:created>
  <dcterms:modified xsi:type="dcterms:W3CDTF">2026-04-20T03:33:00Z</dcterms:modified>
</cp:coreProperties>
</file>