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1ED87" w14:textId="77777777" w:rsidR="00731304" w:rsidRDefault="00000000">
      <w:pPr>
        <w:spacing w:line="480" w:lineRule="auto"/>
        <w:jc w:val="center"/>
        <w:rPr>
          <w:rFonts w:ascii="Roboto" w:eastAsia="Roboto" w:hAnsi="Roboto" w:cs="Roboto"/>
          <w:color w:val="0A0A0A"/>
          <w:sz w:val="24"/>
          <w:szCs w:val="24"/>
          <w:highlight w:val="white"/>
        </w:rPr>
      </w:pPr>
      <w:r>
        <w:rPr>
          <w:sz w:val="24"/>
          <w:szCs w:val="24"/>
        </w:rPr>
        <w:t>VF Corporation Decision Memo</w:t>
      </w:r>
    </w:p>
    <w:p w14:paraId="49A23959" w14:textId="77777777" w:rsidR="00731304" w:rsidRDefault="00000000">
      <w:pPr>
        <w:spacing w:line="480" w:lineRule="auto"/>
        <w:jc w:val="center"/>
        <w:rPr>
          <w:sz w:val="24"/>
          <w:szCs w:val="24"/>
        </w:rPr>
      </w:pPr>
      <w:r>
        <w:rPr>
          <w:sz w:val="24"/>
          <w:szCs w:val="24"/>
        </w:rPr>
        <w:t>Degree Master of Science</w:t>
      </w:r>
    </w:p>
    <w:p w14:paraId="6F7ED4FC" w14:textId="77777777" w:rsidR="00731304" w:rsidRDefault="00000000">
      <w:pPr>
        <w:spacing w:line="480" w:lineRule="auto"/>
        <w:jc w:val="center"/>
        <w:rPr>
          <w:sz w:val="24"/>
          <w:szCs w:val="24"/>
        </w:rPr>
      </w:pPr>
      <w:r>
        <w:rPr>
          <w:sz w:val="24"/>
          <w:szCs w:val="24"/>
        </w:rPr>
        <w:t xml:space="preserve">Degree Program Environmental Policy and Management </w:t>
      </w:r>
    </w:p>
    <w:p w14:paraId="6FBDB697" w14:textId="77777777" w:rsidR="00731304" w:rsidRDefault="00731304">
      <w:pPr>
        <w:spacing w:line="480" w:lineRule="auto"/>
        <w:jc w:val="center"/>
        <w:rPr>
          <w:sz w:val="24"/>
          <w:szCs w:val="24"/>
        </w:rPr>
      </w:pPr>
    </w:p>
    <w:p w14:paraId="5C12A030" w14:textId="77777777" w:rsidR="00731304" w:rsidRDefault="00731304">
      <w:pPr>
        <w:spacing w:line="480" w:lineRule="auto"/>
        <w:jc w:val="center"/>
        <w:rPr>
          <w:sz w:val="24"/>
          <w:szCs w:val="24"/>
        </w:rPr>
      </w:pPr>
    </w:p>
    <w:p w14:paraId="5198297A" w14:textId="77777777" w:rsidR="00731304" w:rsidRDefault="00731304">
      <w:pPr>
        <w:spacing w:line="480" w:lineRule="auto"/>
        <w:jc w:val="center"/>
        <w:rPr>
          <w:sz w:val="24"/>
          <w:szCs w:val="24"/>
        </w:rPr>
      </w:pPr>
    </w:p>
    <w:p w14:paraId="557C1791" w14:textId="77777777" w:rsidR="00731304" w:rsidRDefault="00731304">
      <w:pPr>
        <w:spacing w:line="480" w:lineRule="auto"/>
        <w:jc w:val="center"/>
        <w:rPr>
          <w:sz w:val="24"/>
          <w:szCs w:val="24"/>
        </w:rPr>
      </w:pPr>
    </w:p>
    <w:p w14:paraId="14A1053F" w14:textId="77777777" w:rsidR="00731304" w:rsidRDefault="00731304">
      <w:pPr>
        <w:spacing w:line="480" w:lineRule="auto"/>
        <w:jc w:val="center"/>
        <w:rPr>
          <w:sz w:val="24"/>
          <w:szCs w:val="24"/>
        </w:rPr>
      </w:pPr>
    </w:p>
    <w:p w14:paraId="00530720" w14:textId="77777777" w:rsidR="00731304" w:rsidRDefault="00731304">
      <w:pPr>
        <w:spacing w:line="480" w:lineRule="auto"/>
        <w:jc w:val="center"/>
        <w:rPr>
          <w:sz w:val="24"/>
          <w:szCs w:val="24"/>
        </w:rPr>
      </w:pPr>
    </w:p>
    <w:p w14:paraId="0C4503CF" w14:textId="77777777" w:rsidR="00731304" w:rsidRDefault="00731304">
      <w:pPr>
        <w:spacing w:line="480" w:lineRule="auto"/>
        <w:jc w:val="center"/>
        <w:rPr>
          <w:sz w:val="24"/>
          <w:szCs w:val="24"/>
        </w:rPr>
      </w:pPr>
    </w:p>
    <w:p w14:paraId="4EAFE3FB" w14:textId="77777777" w:rsidR="00731304" w:rsidRDefault="00731304">
      <w:pPr>
        <w:spacing w:line="480" w:lineRule="auto"/>
        <w:jc w:val="center"/>
        <w:rPr>
          <w:sz w:val="24"/>
          <w:szCs w:val="24"/>
        </w:rPr>
      </w:pPr>
    </w:p>
    <w:p w14:paraId="4CC9FCD9" w14:textId="77777777" w:rsidR="00731304" w:rsidRDefault="00731304">
      <w:pPr>
        <w:spacing w:line="480" w:lineRule="auto"/>
        <w:jc w:val="center"/>
        <w:rPr>
          <w:sz w:val="24"/>
          <w:szCs w:val="24"/>
        </w:rPr>
      </w:pPr>
    </w:p>
    <w:p w14:paraId="7BF5F83B" w14:textId="77777777" w:rsidR="00731304" w:rsidRDefault="00731304">
      <w:pPr>
        <w:spacing w:line="480" w:lineRule="auto"/>
        <w:jc w:val="center"/>
        <w:rPr>
          <w:sz w:val="24"/>
          <w:szCs w:val="24"/>
        </w:rPr>
      </w:pPr>
    </w:p>
    <w:p w14:paraId="2640E2C0" w14:textId="77777777" w:rsidR="00731304" w:rsidRDefault="00731304">
      <w:pPr>
        <w:spacing w:line="480" w:lineRule="auto"/>
        <w:rPr>
          <w:sz w:val="24"/>
          <w:szCs w:val="24"/>
        </w:rPr>
      </w:pPr>
    </w:p>
    <w:p w14:paraId="2247A835" w14:textId="77777777" w:rsidR="00731304" w:rsidRDefault="00731304">
      <w:pPr>
        <w:spacing w:line="480" w:lineRule="auto"/>
        <w:rPr>
          <w:sz w:val="24"/>
          <w:szCs w:val="24"/>
        </w:rPr>
      </w:pPr>
    </w:p>
    <w:p w14:paraId="320CC588" w14:textId="77777777" w:rsidR="00731304" w:rsidRDefault="00000000">
      <w:pPr>
        <w:spacing w:line="480" w:lineRule="auto"/>
        <w:jc w:val="center"/>
        <w:rPr>
          <w:sz w:val="24"/>
          <w:szCs w:val="24"/>
        </w:rPr>
      </w:pPr>
      <w:r>
        <w:rPr>
          <w:sz w:val="24"/>
          <w:szCs w:val="24"/>
        </w:rPr>
        <w:t>Breann Larson</w:t>
      </w:r>
    </w:p>
    <w:p w14:paraId="2F02C8CD" w14:textId="77777777" w:rsidR="00731304" w:rsidRDefault="00000000">
      <w:pPr>
        <w:spacing w:line="480" w:lineRule="auto"/>
        <w:jc w:val="center"/>
        <w:rPr>
          <w:sz w:val="24"/>
          <w:szCs w:val="24"/>
        </w:rPr>
      </w:pPr>
      <w:r>
        <w:rPr>
          <w:sz w:val="24"/>
          <w:szCs w:val="24"/>
        </w:rPr>
        <w:t>University of Denver College of Professional Studies</w:t>
      </w:r>
    </w:p>
    <w:p w14:paraId="18DE2483" w14:textId="77777777" w:rsidR="00731304" w:rsidRDefault="00000000">
      <w:pPr>
        <w:spacing w:line="480" w:lineRule="auto"/>
        <w:jc w:val="center"/>
        <w:rPr>
          <w:sz w:val="24"/>
          <w:szCs w:val="24"/>
        </w:rPr>
      </w:pPr>
      <w:r>
        <w:rPr>
          <w:sz w:val="24"/>
          <w:szCs w:val="24"/>
        </w:rPr>
        <w:t>Date May 6th, 2026</w:t>
      </w:r>
    </w:p>
    <w:p w14:paraId="1D2B665F" w14:textId="77777777" w:rsidR="00731304" w:rsidRDefault="00000000">
      <w:pPr>
        <w:spacing w:line="480" w:lineRule="auto"/>
        <w:jc w:val="center"/>
        <w:rPr>
          <w:sz w:val="24"/>
          <w:szCs w:val="24"/>
        </w:rPr>
      </w:pPr>
      <w:r>
        <w:rPr>
          <w:sz w:val="24"/>
          <w:szCs w:val="24"/>
        </w:rPr>
        <w:t>Faculty: Wayne E. Mayer, PhD</w:t>
      </w:r>
    </w:p>
    <w:p w14:paraId="25030781" w14:textId="77777777" w:rsidR="00731304" w:rsidRDefault="00000000">
      <w:pPr>
        <w:spacing w:line="480" w:lineRule="auto"/>
        <w:jc w:val="center"/>
        <w:rPr>
          <w:sz w:val="24"/>
          <w:szCs w:val="24"/>
        </w:rPr>
      </w:pPr>
      <w:r>
        <w:rPr>
          <w:sz w:val="24"/>
          <w:szCs w:val="24"/>
        </w:rPr>
        <w:t>Director: John Hill, PhD</w:t>
      </w:r>
    </w:p>
    <w:p w14:paraId="0043B429" w14:textId="77777777" w:rsidR="00731304" w:rsidRDefault="00000000">
      <w:pPr>
        <w:spacing w:line="480" w:lineRule="auto"/>
        <w:jc w:val="center"/>
        <w:rPr>
          <w:color w:val="273540"/>
          <w:sz w:val="24"/>
          <w:szCs w:val="24"/>
        </w:rPr>
      </w:pPr>
      <w:r>
        <w:rPr>
          <w:sz w:val="24"/>
          <w:szCs w:val="24"/>
        </w:rPr>
        <w:t>Dean: Michael McGuire, MLS</w:t>
      </w:r>
    </w:p>
    <w:p w14:paraId="406349A2" w14:textId="77777777" w:rsidR="00731304" w:rsidRDefault="00731304">
      <w:pPr>
        <w:shd w:val="clear" w:color="auto" w:fill="FFFFFF"/>
        <w:spacing w:after="100"/>
        <w:ind w:left="720"/>
        <w:rPr>
          <w:color w:val="273540"/>
          <w:sz w:val="24"/>
          <w:szCs w:val="24"/>
        </w:rPr>
      </w:pPr>
    </w:p>
    <w:p w14:paraId="3C0CA34B" w14:textId="77777777" w:rsidR="00731304" w:rsidRDefault="00731304">
      <w:pPr>
        <w:shd w:val="clear" w:color="auto" w:fill="FFFFFF"/>
        <w:spacing w:after="100"/>
        <w:ind w:left="720"/>
        <w:rPr>
          <w:color w:val="273540"/>
          <w:sz w:val="24"/>
          <w:szCs w:val="24"/>
        </w:rPr>
      </w:pPr>
    </w:p>
    <w:p w14:paraId="4BE15B7F" w14:textId="77777777" w:rsidR="00731304" w:rsidRDefault="00731304">
      <w:pPr>
        <w:shd w:val="clear" w:color="auto" w:fill="FFFFFF"/>
        <w:spacing w:after="100"/>
        <w:ind w:left="720"/>
        <w:rPr>
          <w:color w:val="273540"/>
          <w:sz w:val="24"/>
          <w:szCs w:val="24"/>
        </w:rPr>
      </w:pPr>
    </w:p>
    <w:p w14:paraId="1F7FFC84" w14:textId="77777777" w:rsidR="00731304" w:rsidRDefault="00000000">
      <w:pPr>
        <w:shd w:val="clear" w:color="auto" w:fill="FFFFFF"/>
        <w:spacing w:after="100" w:line="480" w:lineRule="auto"/>
        <w:rPr>
          <w:sz w:val="24"/>
          <w:szCs w:val="24"/>
        </w:rPr>
      </w:pPr>
      <w:r>
        <w:rPr>
          <w:b/>
          <w:bCs/>
          <w:sz w:val="24"/>
          <w:szCs w:val="24"/>
        </w:rPr>
        <w:lastRenderedPageBreak/>
        <w:t>To:</w:t>
      </w:r>
      <w:r>
        <w:rPr>
          <w:sz w:val="24"/>
          <w:szCs w:val="24"/>
        </w:rPr>
        <w:t xml:space="preserve"> Bracken Darrell  | CEO and President of VF Corporation </w:t>
      </w:r>
    </w:p>
    <w:p w14:paraId="0C072494" w14:textId="77777777" w:rsidR="00731304" w:rsidRDefault="00000000">
      <w:pPr>
        <w:shd w:val="clear" w:color="auto" w:fill="FFFFFF"/>
        <w:spacing w:after="100" w:line="480" w:lineRule="auto"/>
        <w:rPr>
          <w:sz w:val="24"/>
          <w:szCs w:val="24"/>
        </w:rPr>
      </w:pPr>
      <w:r>
        <w:rPr>
          <w:b/>
          <w:bCs/>
          <w:sz w:val="24"/>
          <w:szCs w:val="24"/>
        </w:rPr>
        <w:t>From:</w:t>
      </w:r>
      <w:r>
        <w:rPr>
          <w:sz w:val="24"/>
          <w:szCs w:val="24"/>
        </w:rPr>
        <w:t xml:space="preserve"> Breann Larson, Graduate Student at the University of Denver</w:t>
      </w:r>
    </w:p>
    <w:p w14:paraId="09130654" w14:textId="77777777" w:rsidR="00731304" w:rsidRDefault="00000000">
      <w:pPr>
        <w:shd w:val="clear" w:color="auto" w:fill="FFFFFF"/>
        <w:spacing w:after="100" w:line="480" w:lineRule="auto"/>
        <w:rPr>
          <w:sz w:val="24"/>
          <w:szCs w:val="24"/>
        </w:rPr>
      </w:pPr>
      <w:r>
        <w:rPr>
          <w:b/>
          <w:bCs/>
          <w:sz w:val="24"/>
          <w:szCs w:val="24"/>
        </w:rPr>
        <w:t>Subject:</w:t>
      </w:r>
      <w:r>
        <w:rPr>
          <w:sz w:val="24"/>
          <w:szCs w:val="24"/>
        </w:rPr>
        <w:t xml:space="preserve"> Adoption of IFRS S1 and S2 Reporting Standards</w:t>
      </w:r>
    </w:p>
    <w:p w14:paraId="39E67FB6" w14:textId="77777777" w:rsidR="00731304" w:rsidRDefault="00000000">
      <w:pPr>
        <w:pStyle w:val="Heading3"/>
        <w:shd w:val="clear" w:color="auto" w:fill="FFFFFF"/>
        <w:spacing w:after="100" w:line="480" w:lineRule="auto"/>
        <w:rPr>
          <w:color w:val="000000"/>
        </w:rPr>
      </w:pPr>
      <w:bookmarkStart w:id="0" w:name="_j6aembnu89g2" w:colFirst="0" w:colLast="0"/>
      <w:bookmarkEnd w:id="0"/>
      <w:r>
        <w:rPr>
          <w:color w:val="000000"/>
          <w:sz w:val="26"/>
          <w:szCs w:val="26"/>
        </w:rPr>
        <w:t xml:space="preserve">Overview </w:t>
      </w:r>
      <w:r>
        <w:rPr>
          <w:color w:val="000000"/>
        </w:rPr>
        <w:t xml:space="preserve">  </w:t>
      </w:r>
    </w:p>
    <w:p w14:paraId="5ABE2FA0" w14:textId="77777777" w:rsidR="00731304" w:rsidRDefault="00000000">
      <w:pPr>
        <w:pStyle w:val="Heading2"/>
        <w:shd w:val="clear" w:color="auto" w:fill="FFFFFF"/>
        <w:spacing w:after="100" w:line="480" w:lineRule="auto"/>
        <w:rPr>
          <w:sz w:val="24"/>
          <w:szCs w:val="24"/>
        </w:rPr>
      </w:pPr>
      <w:bookmarkStart w:id="1" w:name="_8knpm6sek1tz" w:colFirst="0" w:colLast="0"/>
      <w:bookmarkEnd w:id="1"/>
      <w:r>
        <w:rPr>
          <w:sz w:val="24"/>
          <w:szCs w:val="24"/>
        </w:rPr>
        <w:t xml:space="preserve">VF Corporation has set up reporting frameworks and standards by implementing the Global Reporting Initiative (GRI), Sustainability Accounting Standards Board (SASB) Apparel, Accessories, and Footwear Standards, Task Force on Climate-related Financial Disclosures (TCFD), United Nations Sustainable Development Goals (UN SDGs), and UN Guiding Principles Reporting Framework (UNGPRF) (VF Corporation 2023). VF Corporation is lacking the IFRS S1 and S2 standards. Although VF Corporation is not required to undergo IFRS Standards, it provides a more in-depth inspection of climate-change risk, mitigation, and its effects on the financial risk of the company. IFRS S1 and S2 Standards incorporate the TCFD four-pillar structure and SASB, which will allow for an easier transition and more streamlined reporting (VF Corporation 2023). A global shift towards IFRS S1 and S2 standards is occurring, and including IFRS S1 and S2 standards will allow VF Corporation to meet the growing demands of reporting frameworks and standards within its industry.       </w:t>
      </w:r>
    </w:p>
    <w:p w14:paraId="4D35E40B" w14:textId="77777777" w:rsidR="00731304" w:rsidRDefault="00731304"/>
    <w:p w14:paraId="4ADC9D07" w14:textId="77777777" w:rsidR="006D2744" w:rsidRDefault="006D2744"/>
    <w:p w14:paraId="277A4873" w14:textId="77777777" w:rsidR="00731304" w:rsidRDefault="00731304"/>
    <w:p w14:paraId="193A1E13" w14:textId="77777777" w:rsidR="00731304" w:rsidRDefault="00000000">
      <w:pPr>
        <w:pStyle w:val="Heading2"/>
        <w:shd w:val="clear" w:color="auto" w:fill="FFFFFF"/>
        <w:spacing w:after="100" w:line="480" w:lineRule="auto"/>
      </w:pPr>
      <w:bookmarkStart w:id="2" w:name="_nws0rlardb6x" w:colFirst="0" w:colLast="0"/>
      <w:bookmarkEnd w:id="2"/>
      <w:r>
        <w:rPr>
          <w:color w:val="000000"/>
          <w:sz w:val="26"/>
          <w:szCs w:val="26"/>
        </w:rPr>
        <w:lastRenderedPageBreak/>
        <w:t>Problem Statement</w:t>
      </w:r>
      <w:r>
        <w:rPr>
          <w:color w:val="000000"/>
        </w:rPr>
        <w:t xml:space="preserve"> </w:t>
      </w:r>
    </w:p>
    <w:p w14:paraId="65A07E84" w14:textId="77777777" w:rsidR="00731304" w:rsidRDefault="00000000">
      <w:pPr>
        <w:shd w:val="clear" w:color="auto" w:fill="FFFFFF"/>
        <w:spacing w:after="100" w:line="480" w:lineRule="auto"/>
        <w:rPr>
          <w:color w:val="273540"/>
          <w:sz w:val="24"/>
          <w:szCs w:val="24"/>
        </w:rPr>
      </w:pPr>
      <w:r>
        <w:rPr>
          <w:sz w:val="24"/>
          <w:szCs w:val="24"/>
        </w:rPr>
        <w:t xml:space="preserve">VF Corporation lacks a globally recognized standard for climate risk, mitigation, and its association with financial risk to the company. Currently, VF Corporation follows US GAAP, but this fails to assess climate change risks and mitigation, and their impact on finances (VF Corporation 2023). With the adoption of IFRS S1 and S2, VF Corporation will have a more comprehensive, globally recognized, investor-focused approach and more efficient reporting. </w:t>
      </w:r>
    </w:p>
    <w:p w14:paraId="59226FF5" w14:textId="77777777" w:rsidR="00731304" w:rsidRDefault="00000000">
      <w:pPr>
        <w:pStyle w:val="Heading3"/>
        <w:shd w:val="clear" w:color="auto" w:fill="FFFFFF"/>
        <w:spacing w:after="100" w:line="480" w:lineRule="auto"/>
        <w:rPr>
          <w:color w:val="000000"/>
          <w:sz w:val="26"/>
          <w:szCs w:val="26"/>
        </w:rPr>
      </w:pPr>
      <w:bookmarkStart w:id="3" w:name="_hojfawc6zjq5" w:colFirst="0" w:colLast="0"/>
      <w:bookmarkEnd w:id="3"/>
      <w:r>
        <w:rPr>
          <w:color w:val="000000"/>
          <w:sz w:val="26"/>
          <w:szCs w:val="26"/>
        </w:rPr>
        <w:t xml:space="preserve">Analysis/Options </w:t>
      </w:r>
    </w:p>
    <w:p w14:paraId="192DFA53" w14:textId="77777777" w:rsidR="00731304" w:rsidRDefault="00000000">
      <w:pPr>
        <w:spacing w:line="480" w:lineRule="auto"/>
        <w:rPr>
          <w:sz w:val="24"/>
          <w:szCs w:val="24"/>
        </w:rPr>
      </w:pPr>
      <w:r>
        <w:rPr>
          <w:sz w:val="24"/>
          <w:szCs w:val="24"/>
        </w:rPr>
        <w:t>Below are three options listed to help VF Corporation meet growing demands in sustainability frameworks and standards.</w:t>
      </w:r>
    </w:p>
    <w:p w14:paraId="13E90059" w14:textId="77777777" w:rsidR="00731304" w:rsidRDefault="00000000">
      <w:pPr>
        <w:shd w:val="clear" w:color="auto" w:fill="FFFFFF"/>
        <w:spacing w:after="100" w:line="480" w:lineRule="auto"/>
        <w:rPr>
          <w:sz w:val="20"/>
          <w:szCs w:val="20"/>
        </w:rPr>
      </w:pPr>
      <w:r>
        <w:rPr>
          <w:sz w:val="20"/>
          <w:szCs w:val="20"/>
        </w:rPr>
        <w:t xml:space="preserve">Table 1: Criteria Matrix </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2355"/>
        <w:gridCol w:w="2340"/>
        <w:gridCol w:w="2340"/>
      </w:tblGrid>
      <w:tr w:rsidR="00731304" w14:paraId="25F9D68D" w14:textId="77777777">
        <w:tc>
          <w:tcPr>
            <w:tcW w:w="2325" w:type="dxa"/>
            <w:tcMar>
              <w:top w:w="100" w:type="dxa"/>
              <w:left w:w="100" w:type="dxa"/>
              <w:bottom w:w="100" w:type="dxa"/>
              <w:right w:w="100" w:type="dxa"/>
            </w:tcMar>
          </w:tcPr>
          <w:p w14:paraId="6CBF00AA" w14:textId="77777777" w:rsidR="00731304" w:rsidRDefault="00000000">
            <w:pPr>
              <w:widowControl w:val="0"/>
              <w:spacing w:line="240" w:lineRule="auto"/>
              <w:rPr>
                <w:b/>
                <w:bCs/>
                <w:sz w:val="20"/>
                <w:szCs w:val="20"/>
              </w:rPr>
            </w:pPr>
            <w:r>
              <w:rPr>
                <w:b/>
                <w:bCs/>
                <w:sz w:val="20"/>
                <w:szCs w:val="20"/>
              </w:rPr>
              <w:t xml:space="preserve">Options </w:t>
            </w:r>
          </w:p>
        </w:tc>
        <w:tc>
          <w:tcPr>
            <w:tcW w:w="2355" w:type="dxa"/>
            <w:tcMar>
              <w:top w:w="100" w:type="dxa"/>
              <w:left w:w="100" w:type="dxa"/>
              <w:bottom w:w="100" w:type="dxa"/>
              <w:right w:w="100" w:type="dxa"/>
            </w:tcMar>
          </w:tcPr>
          <w:p w14:paraId="76896BA5" w14:textId="77777777" w:rsidR="00731304" w:rsidRDefault="00000000">
            <w:pPr>
              <w:widowControl w:val="0"/>
              <w:spacing w:line="240" w:lineRule="auto"/>
              <w:rPr>
                <w:b/>
                <w:bCs/>
                <w:sz w:val="20"/>
                <w:szCs w:val="20"/>
              </w:rPr>
            </w:pPr>
            <w:r>
              <w:rPr>
                <w:b/>
                <w:bCs/>
                <w:sz w:val="20"/>
                <w:szCs w:val="20"/>
              </w:rPr>
              <w:t>Pros</w:t>
            </w:r>
          </w:p>
        </w:tc>
        <w:tc>
          <w:tcPr>
            <w:tcW w:w="2340" w:type="dxa"/>
            <w:tcMar>
              <w:top w:w="100" w:type="dxa"/>
              <w:left w:w="100" w:type="dxa"/>
              <w:bottom w:w="100" w:type="dxa"/>
              <w:right w:w="100" w:type="dxa"/>
            </w:tcMar>
          </w:tcPr>
          <w:p w14:paraId="10F39CBE" w14:textId="77777777" w:rsidR="00731304" w:rsidRDefault="00000000">
            <w:pPr>
              <w:widowControl w:val="0"/>
              <w:spacing w:line="240" w:lineRule="auto"/>
              <w:rPr>
                <w:b/>
                <w:bCs/>
                <w:sz w:val="20"/>
                <w:szCs w:val="20"/>
              </w:rPr>
            </w:pPr>
            <w:r>
              <w:rPr>
                <w:b/>
                <w:bCs/>
                <w:sz w:val="20"/>
                <w:szCs w:val="20"/>
              </w:rPr>
              <w:t>Cons</w:t>
            </w:r>
          </w:p>
        </w:tc>
        <w:tc>
          <w:tcPr>
            <w:tcW w:w="2340" w:type="dxa"/>
            <w:tcMar>
              <w:top w:w="100" w:type="dxa"/>
              <w:left w:w="100" w:type="dxa"/>
              <w:bottom w:w="100" w:type="dxa"/>
              <w:right w:w="100" w:type="dxa"/>
            </w:tcMar>
          </w:tcPr>
          <w:p w14:paraId="6CD0EBFA" w14:textId="77777777" w:rsidR="00731304" w:rsidRDefault="00000000">
            <w:pPr>
              <w:widowControl w:val="0"/>
              <w:spacing w:line="240" w:lineRule="auto"/>
              <w:rPr>
                <w:b/>
                <w:bCs/>
                <w:sz w:val="20"/>
                <w:szCs w:val="20"/>
              </w:rPr>
            </w:pPr>
            <w:r>
              <w:rPr>
                <w:b/>
                <w:bCs/>
                <w:sz w:val="20"/>
                <w:szCs w:val="20"/>
              </w:rPr>
              <w:t>Risk</w:t>
            </w:r>
          </w:p>
        </w:tc>
      </w:tr>
      <w:tr w:rsidR="00731304" w14:paraId="104B9672" w14:textId="77777777">
        <w:tc>
          <w:tcPr>
            <w:tcW w:w="2325" w:type="dxa"/>
            <w:tcMar>
              <w:top w:w="100" w:type="dxa"/>
              <w:left w:w="100" w:type="dxa"/>
              <w:bottom w:w="100" w:type="dxa"/>
              <w:right w:w="100" w:type="dxa"/>
            </w:tcMar>
          </w:tcPr>
          <w:p w14:paraId="7CA89518" w14:textId="77777777" w:rsidR="00731304" w:rsidRDefault="00000000">
            <w:pPr>
              <w:widowControl w:val="0"/>
              <w:spacing w:line="240" w:lineRule="auto"/>
              <w:rPr>
                <w:sz w:val="20"/>
                <w:szCs w:val="20"/>
              </w:rPr>
            </w:pPr>
            <w:r>
              <w:rPr>
                <w:sz w:val="20"/>
                <w:szCs w:val="20"/>
              </w:rPr>
              <w:t>Status Quo</w:t>
            </w:r>
          </w:p>
        </w:tc>
        <w:tc>
          <w:tcPr>
            <w:tcW w:w="2355" w:type="dxa"/>
            <w:tcMar>
              <w:top w:w="100" w:type="dxa"/>
              <w:left w:w="100" w:type="dxa"/>
              <w:bottom w:w="100" w:type="dxa"/>
              <w:right w:w="100" w:type="dxa"/>
            </w:tcMar>
          </w:tcPr>
          <w:p w14:paraId="6A6CAA8F" w14:textId="77777777" w:rsidR="00731304" w:rsidRDefault="00000000">
            <w:pPr>
              <w:widowControl w:val="0"/>
              <w:spacing w:line="240" w:lineRule="auto"/>
              <w:rPr>
                <w:sz w:val="20"/>
                <w:szCs w:val="20"/>
              </w:rPr>
            </w:pPr>
            <w:r>
              <w:rPr>
                <w:sz w:val="20"/>
                <w:szCs w:val="20"/>
              </w:rPr>
              <w:t>-no change to structure</w:t>
            </w:r>
          </w:p>
          <w:p w14:paraId="65D81F11" w14:textId="77777777" w:rsidR="00731304" w:rsidRDefault="00000000">
            <w:pPr>
              <w:widowControl w:val="0"/>
              <w:spacing w:line="240" w:lineRule="auto"/>
              <w:rPr>
                <w:sz w:val="20"/>
                <w:szCs w:val="20"/>
              </w:rPr>
            </w:pPr>
            <w:r>
              <w:rPr>
                <w:sz w:val="20"/>
                <w:szCs w:val="20"/>
              </w:rPr>
              <w:t xml:space="preserve">-no new data or metrics needed </w:t>
            </w:r>
          </w:p>
        </w:tc>
        <w:tc>
          <w:tcPr>
            <w:tcW w:w="2340" w:type="dxa"/>
            <w:tcMar>
              <w:top w:w="100" w:type="dxa"/>
              <w:left w:w="100" w:type="dxa"/>
              <w:bottom w:w="100" w:type="dxa"/>
              <w:right w:w="100" w:type="dxa"/>
            </w:tcMar>
          </w:tcPr>
          <w:p w14:paraId="2F2CB754" w14:textId="77777777" w:rsidR="00731304" w:rsidRDefault="00000000">
            <w:pPr>
              <w:widowControl w:val="0"/>
              <w:spacing w:line="240" w:lineRule="auto"/>
              <w:rPr>
                <w:sz w:val="20"/>
                <w:szCs w:val="20"/>
              </w:rPr>
            </w:pPr>
            <w:r>
              <w:rPr>
                <w:sz w:val="20"/>
                <w:szCs w:val="20"/>
              </w:rPr>
              <w:t>-Uncomprehensive</w:t>
            </w:r>
          </w:p>
          <w:p w14:paraId="6181D76C" w14:textId="77777777" w:rsidR="00731304" w:rsidRDefault="00000000">
            <w:pPr>
              <w:widowControl w:val="0"/>
              <w:spacing w:line="240" w:lineRule="auto"/>
              <w:rPr>
                <w:sz w:val="20"/>
                <w:szCs w:val="20"/>
              </w:rPr>
            </w:pPr>
            <w:r>
              <w:rPr>
                <w:sz w:val="20"/>
                <w:szCs w:val="20"/>
              </w:rPr>
              <w:t>-Not globally recognized</w:t>
            </w:r>
          </w:p>
          <w:p w14:paraId="4D323621" w14:textId="77777777" w:rsidR="00731304" w:rsidRDefault="00000000">
            <w:pPr>
              <w:widowControl w:val="0"/>
              <w:spacing w:line="240" w:lineRule="auto"/>
              <w:rPr>
                <w:sz w:val="20"/>
                <w:szCs w:val="20"/>
              </w:rPr>
            </w:pPr>
            <w:r>
              <w:rPr>
                <w:sz w:val="20"/>
                <w:szCs w:val="20"/>
              </w:rPr>
              <w:t>-Fails to analyze the financial risk of climate change</w:t>
            </w:r>
          </w:p>
        </w:tc>
        <w:tc>
          <w:tcPr>
            <w:tcW w:w="2340" w:type="dxa"/>
            <w:tcMar>
              <w:top w:w="100" w:type="dxa"/>
              <w:left w:w="100" w:type="dxa"/>
              <w:bottom w:w="100" w:type="dxa"/>
              <w:right w:w="100" w:type="dxa"/>
            </w:tcMar>
          </w:tcPr>
          <w:p w14:paraId="1A537F69" w14:textId="77777777" w:rsidR="00731304" w:rsidRDefault="00000000">
            <w:pPr>
              <w:widowControl w:val="0"/>
              <w:spacing w:line="240" w:lineRule="auto"/>
              <w:rPr>
                <w:sz w:val="20"/>
                <w:szCs w:val="20"/>
              </w:rPr>
            </w:pPr>
            <w:r>
              <w:rPr>
                <w:sz w:val="20"/>
                <w:szCs w:val="20"/>
              </w:rPr>
              <w:t>High</w:t>
            </w:r>
          </w:p>
        </w:tc>
      </w:tr>
      <w:tr w:rsidR="00731304" w14:paraId="3D01B887" w14:textId="77777777">
        <w:tc>
          <w:tcPr>
            <w:tcW w:w="2325" w:type="dxa"/>
            <w:tcMar>
              <w:top w:w="100" w:type="dxa"/>
              <w:left w:w="100" w:type="dxa"/>
              <w:bottom w:w="100" w:type="dxa"/>
              <w:right w:w="100" w:type="dxa"/>
            </w:tcMar>
          </w:tcPr>
          <w:p w14:paraId="3ED748D7" w14:textId="77777777" w:rsidR="00731304" w:rsidRDefault="00000000">
            <w:pPr>
              <w:widowControl w:val="0"/>
              <w:spacing w:line="240" w:lineRule="auto"/>
              <w:rPr>
                <w:sz w:val="20"/>
                <w:szCs w:val="20"/>
              </w:rPr>
            </w:pPr>
            <w:r>
              <w:rPr>
                <w:sz w:val="20"/>
                <w:szCs w:val="20"/>
              </w:rPr>
              <w:t>Integrate IFRS S2 standards</w:t>
            </w:r>
          </w:p>
        </w:tc>
        <w:tc>
          <w:tcPr>
            <w:tcW w:w="2355" w:type="dxa"/>
            <w:tcMar>
              <w:top w:w="100" w:type="dxa"/>
              <w:left w:w="100" w:type="dxa"/>
              <w:bottom w:w="100" w:type="dxa"/>
              <w:right w:w="100" w:type="dxa"/>
            </w:tcMar>
          </w:tcPr>
          <w:p w14:paraId="64122723" w14:textId="77777777" w:rsidR="00731304" w:rsidRDefault="00000000">
            <w:pPr>
              <w:widowControl w:val="0"/>
              <w:spacing w:line="240" w:lineRule="auto"/>
              <w:rPr>
                <w:sz w:val="20"/>
                <w:szCs w:val="20"/>
              </w:rPr>
            </w:pPr>
            <w:r>
              <w:rPr>
                <w:sz w:val="20"/>
                <w:szCs w:val="20"/>
              </w:rPr>
              <w:t>-Allows for a transition</w:t>
            </w:r>
          </w:p>
          <w:p w14:paraId="27744B0C" w14:textId="77777777" w:rsidR="00731304" w:rsidRDefault="00731304">
            <w:pPr>
              <w:widowControl w:val="0"/>
              <w:spacing w:line="240" w:lineRule="auto"/>
              <w:rPr>
                <w:sz w:val="20"/>
                <w:szCs w:val="20"/>
              </w:rPr>
            </w:pPr>
          </w:p>
        </w:tc>
        <w:tc>
          <w:tcPr>
            <w:tcW w:w="2340" w:type="dxa"/>
            <w:tcMar>
              <w:top w:w="100" w:type="dxa"/>
              <w:left w:w="100" w:type="dxa"/>
              <w:bottom w:w="100" w:type="dxa"/>
              <w:right w:w="100" w:type="dxa"/>
            </w:tcMar>
          </w:tcPr>
          <w:p w14:paraId="336FE354" w14:textId="77777777" w:rsidR="00731304" w:rsidRDefault="00000000">
            <w:pPr>
              <w:widowControl w:val="0"/>
              <w:spacing w:line="240" w:lineRule="auto"/>
              <w:rPr>
                <w:sz w:val="20"/>
                <w:szCs w:val="20"/>
              </w:rPr>
            </w:pPr>
            <w:r>
              <w:rPr>
                <w:sz w:val="20"/>
                <w:szCs w:val="20"/>
              </w:rPr>
              <w:t>-Not as Comprehensive</w:t>
            </w:r>
          </w:p>
          <w:p w14:paraId="6670CA6E" w14:textId="77777777" w:rsidR="00731304" w:rsidRDefault="00000000">
            <w:pPr>
              <w:widowControl w:val="0"/>
              <w:spacing w:line="240" w:lineRule="auto"/>
              <w:rPr>
                <w:sz w:val="20"/>
                <w:szCs w:val="20"/>
              </w:rPr>
            </w:pPr>
            <w:r>
              <w:rPr>
                <w:sz w:val="20"/>
                <w:szCs w:val="20"/>
              </w:rPr>
              <w:t>-Not be compliant with ISSB standards</w:t>
            </w:r>
          </w:p>
        </w:tc>
        <w:tc>
          <w:tcPr>
            <w:tcW w:w="2340" w:type="dxa"/>
            <w:tcMar>
              <w:top w:w="100" w:type="dxa"/>
              <w:left w:w="100" w:type="dxa"/>
              <w:bottom w:w="100" w:type="dxa"/>
              <w:right w:w="100" w:type="dxa"/>
            </w:tcMar>
          </w:tcPr>
          <w:p w14:paraId="1012D1A7" w14:textId="77777777" w:rsidR="00731304" w:rsidRDefault="00000000">
            <w:pPr>
              <w:widowControl w:val="0"/>
              <w:spacing w:line="240" w:lineRule="auto"/>
              <w:rPr>
                <w:sz w:val="20"/>
                <w:szCs w:val="20"/>
              </w:rPr>
            </w:pPr>
            <w:r>
              <w:rPr>
                <w:sz w:val="20"/>
                <w:szCs w:val="20"/>
              </w:rPr>
              <w:t>Medium</w:t>
            </w:r>
          </w:p>
        </w:tc>
      </w:tr>
      <w:tr w:rsidR="00731304" w14:paraId="5C295BCA" w14:textId="77777777">
        <w:trPr>
          <w:trHeight w:val="1849"/>
        </w:trPr>
        <w:tc>
          <w:tcPr>
            <w:tcW w:w="2325" w:type="dxa"/>
            <w:tcMar>
              <w:top w:w="100" w:type="dxa"/>
              <w:left w:w="100" w:type="dxa"/>
              <w:bottom w:w="100" w:type="dxa"/>
              <w:right w:w="100" w:type="dxa"/>
            </w:tcMar>
          </w:tcPr>
          <w:p w14:paraId="0610EA1D" w14:textId="49FEEDAD" w:rsidR="00731304" w:rsidRDefault="006D2744">
            <w:pPr>
              <w:widowControl w:val="0"/>
              <w:spacing w:line="240" w:lineRule="auto"/>
              <w:rPr>
                <w:sz w:val="20"/>
                <w:szCs w:val="20"/>
              </w:rPr>
            </w:pPr>
            <w:r>
              <w:rPr>
                <w:sz w:val="20"/>
                <w:szCs w:val="20"/>
              </w:rPr>
              <w:t>Integrate</w:t>
            </w:r>
            <w:r w:rsidR="00000000">
              <w:rPr>
                <w:sz w:val="20"/>
                <w:szCs w:val="20"/>
              </w:rPr>
              <w:t xml:space="preserve"> IFRS S1 and S2 standards</w:t>
            </w:r>
          </w:p>
        </w:tc>
        <w:tc>
          <w:tcPr>
            <w:tcW w:w="2355" w:type="dxa"/>
            <w:tcMar>
              <w:top w:w="100" w:type="dxa"/>
              <w:left w:w="100" w:type="dxa"/>
              <w:bottom w:w="100" w:type="dxa"/>
              <w:right w:w="100" w:type="dxa"/>
            </w:tcMar>
          </w:tcPr>
          <w:p w14:paraId="51F2108F" w14:textId="77777777" w:rsidR="00731304" w:rsidRDefault="00000000">
            <w:pPr>
              <w:widowControl w:val="0"/>
              <w:spacing w:line="240" w:lineRule="auto"/>
              <w:rPr>
                <w:sz w:val="20"/>
                <w:szCs w:val="20"/>
              </w:rPr>
            </w:pPr>
            <w:r>
              <w:rPr>
                <w:sz w:val="20"/>
                <w:szCs w:val="20"/>
              </w:rPr>
              <w:t xml:space="preserve">-Comprehensive </w:t>
            </w:r>
          </w:p>
          <w:p w14:paraId="4E72165D" w14:textId="77777777" w:rsidR="00731304" w:rsidRDefault="00000000">
            <w:pPr>
              <w:widowControl w:val="0"/>
              <w:spacing w:line="240" w:lineRule="auto"/>
              <w:rPr>
                <w:sz w:val="20"/>
                <w:szCs w:val="20"/>
              </w:rPr>
            </w:pPr>
            <w:r>
              <w:rPr>
                <w:sz w:val="20"/>
                <w:szCs w:val="20"/>
              </w:rPr>
              <w:t xml:space="preserve">-Allows streamlined reporting (no need for TCFD or SASB separately) </w:t>
            </w:r>
          </w:p>
          <w:p w14:paraId="09D0D484" w14:textId="77777777" w:rsidR="00731304" w:rsidRDefault="00000000">
            <w:pPr>
              <w:widowControl w:val="0"/>
              <w:spacing w:line="240" w:lineRule="auto"/>
              <w:rPr>
                <w:sz w:val="20"/>
                <w:szCs w:val="20"/>
              </w:rPr>
            </w:pPr>
            <w:r>
              <w:rPr>
                <w:sz w:val="20"/>
                <w:szCs w:val="20"/>
              </w:rPr>
              <w:t>-Increased stakeholder value</w:t>
            </w:r>
          </w:p>
        </w:tc>
        <w:tc>
          <w:tcPr>
            <w:tcW w:w="2340" w:type="dxa"/>
            <w:tcMar>
              <w:top w:w="100" w:type="dxa"/>
              <w:left w:w="100" w:type="dxa"/>
              <w:bottom w:w="100" w:type="dxa"/>
              <w:right w:w="100" w:type="dxa"/>
            </w:tcMar>
          </w:tcPr>
          <w:p w14:paraId="2B75808E" w14:textId="77777777" w:rsidR="00731304" w:rsidRDefault="00000000">
            <w:pPr>
              <w:widowControl w:val="0"/>
              <w:spacing w:line="240" w:lineRule="auto"/>
              <w:rPr>
                <w:sz w:val="20"/>
                <w:szCs w:val="20"/>
              </w:rPr>
            </w:pPr>
            <w:r>
              <w:rPr>
                <w:sz w:val="20"/>
                <w:szCs w:val="20"/>
              </w:rPr>
              <w:t xml:space="preserve">-More data and metrics needed </w:t>
            </w:r>
          </w:p>
          <w:p w14:paraId="55D18EB1" w14:textId="77777777" w:rsidR="00731304" w:rsidRDefault="00000000">
            <w:pPr>
              <w:widowControl w:val="0"/>
              <w:spacing w:line="240" w:lineRule="auto"/>
              <w:rPr>
                <w:sz w:val="20"/>
                <w:szCs w:val="20"/>
              </w:rPr>
            </w:pPr>
            <w:r>
              <w:rPr>
                <w:sz w:val="20"/>
                <w:szCs w:val="20"/>
              </w:rPr>
              <w:t>-Potentially more hours of work due to an increase in standards</w:t>
            </w:r>
          </w:p>
        </w:tc>
        <w:tc>
          <w:tcPr>
            <w:tcW w:w="2340" w:type="dxa"/>
            <w:tcMar>
              <w:top w:w="100" w:type="dxa"/>
              <w:left w:w="100" w:type="dxa"/>
              <w:bottom w:w="100" w:type="dxa"/>
              <w:right w:w="100" w:type="dxa"/>
            </w:tcMar>
          </w:tcPr>
          <w:p w14:paraId="635C0499" w14:textId="77777777" w:rsidR="00731304" w:rsidRDefault="00000000">
            <w:pPr>
              <w:widowControl w:val="0"/>
              <w:spacing w:line="240" w:lineRule="auto"/>
              <w:rPr>
                <w:sz w:val="20"/>
                <w:szCs w:val="20"/>
              </w:rPr>
            </w:pPr>
            <w:r>
              <w:rPr>
                <w:sz w:val="20"/>
                <w:szCs w:val="20"/>
              </w:rPr>
              <w:t>Low to Medium</w:t>
            </w:r>
          </w:p>
        </w:tc>
      </w:tr>
    </w:tbl>
    <w:p w14:paraId="39B3380A" w14:textId="77777777" w:rsidR="00731304" w:rsidRDefault="00731304">
      <w:pPr>
        <w:shd w:val="clear" w:color="auto" w:fill="FFFFFF"/>
        <w:spacing w:after="100" w:line="480" w:lineRule="auto"/>
        <w:rPr>
          <w:sz w:val="24"/>
          <w:szCs w:val="24"/>
          <w:highlight w:val="yellow"/>
        </w:rPr>
      </w:pPr>
    </w:p>
    <w:p w14:paraId="2B79A170" w14:textId="77777777" w:rsidR="00731304" w:rsidRDefault="00000000">
      <w:pPr>
        <w:pStyle w:val="Heading3"/>
        <w:shd w:val="clear" w:color="auto" w:fill="FFFFFF"/>
        <w:spacing w:after="100" w:line="480" w:lineRule="auto"/>
        <w:rPr>
          <w:color w:val="000000"/>
        </w:rPr>
      </w:pPr>
      <w:bookmarkStart w:id="4" w:name="_k3mwtseulw9c" w:colFirst="0" w:colLast="0"/>
      <w:bookmarkEnd w:id="4"/>
      <w:r>
        <w:rPr>
          <w:color w:val="000000"/>
          <w:sz w:val="26"/>
          <w:szCs w:val="26"/>
        </w:rPr>
        <w:lastRenderedPageBreak/>
        <w:t xml:space="preserve">Recommendation </w:t>
      </w:r>
      <w:r>
        <w:rPr>
          <w:color w:val="000000"/>
        </w:rPr>
        <w:t xml:space="preserve"> </w:t>
      </w:r>
    </w:p>
    <w:p w14:paraId="74331C4D" w14:textId="77777777" w:rsidR="00731304" w:rsidRDefault="00000000">
      <w:pPr>
        <w:shd w:val="clear" w:color="auto" w:fill="FFFFFF"/>
        <w:spacing w:after="100" w:line="480" w:lineRule="auto"/>
        <w:rPr>
          <w:sz w:val="24"/>
          <w:szCs w:val="24"/>
        </w:rPr>
      </w:pPr>
      <w:r>
        <w:rPr>
          <w:sz w:val="24"/>
          <w:szCs w:val="24"/>
        </w:rPr>
        <w:t xml:space="preserve">Option 3 is the best plan of action. To properly implement the IFRS S1 and S2 standards, VF Corporation must </w:t>
      </w:r>
    </w:p>
    <w:p w14:paraId="67D1B546" w14:textId="77777777" w:rsidR="00731304" w:rsidRDefault="00000000">
      <w:pPr>
        <w:numPr>
          <w:ilvl w:val="0"/>
          <w:numId w:val="1"/>
        </w:numPr>
        <w:shd w:val="clear" w:color="auto" w:fill="FFFFFF"/>
        <w:spacing w:line="480" w:lineRule="auto"/>
        <w:rPr>
          <w:sz w:val="24"/>
          <w:szCs w:val="24"/>
        </w:rPr>
      </w:pPr>
      <w:r>
        <w:rPr>
          <w:sz w:val="24"/>
          <w:szCs w:val="24"/>
        </w:rPr>
        <w:t>Assign a Board for oversight of IFRS S1 and S2 standards</w:t>
      </w:r>
    </w:p>
    <w:p w14:paraId="73242FA5" w14:textId="77777777" w:rsidR="00731304" w:rsidRDefault="00000000">
      <w:pPr>
        <w:numPr>
          <w:ilvl w:val="0"/>
          <w:numId w:val="1"/>
        </w:numPr>
        <w:shd w:val="clear" w:color="auto" w:fill="FFFFFF"/>
        <w:spacing w:line="480" w:lineRule="auto"/>
        <w:rPr>
          <w:sz w:val="24"/>
          <w:szCs w:val="24"/>
        </w:rPr>
      </w:pPr>
      <w:r>
        <w:rPr>
          <w:sz w:val="24"/>
          <w:szCs w:val="24"/>
        </w:rPr>
        <w:t>Implement a strategy for managing sustainability-related risks and opportunities</w:t>
      </w:r>
    </w:p>
    <w:p w14:paraId="4E44B863" w14:textId="77777777" w:rsidR="00731304" w:rsidRDefault="00000000">
      <w:pPr>
        <w:numPr>
          <w:ilvl w:val="0"/>
          <w:numId w:val="1"/>
        </w:numPr>
        <w:shd w:val="clear" w:color="auto" w:fill="FFFFFF"/>
        <w:spacing w:line="480" w:lineRule="auto"/>
        <w:rPr>
          <w:sz w:val="24"/>
          <w:szCs w:val="24"/>
        </w:rPr>
      </w:pPr>
      <w:r>
        <w:rPr>
          <w:sz w:val="24"/>
          <w:szCs w:val="24"/>
        </w:rPr>
        <w:t>Identify, assess, and monitor sustainability-related risks</w:t>
      </w:r>
    </w:p>
    <w:p w14:paraId="3D629A16" w14:textId="77777777" w:rsidR="00731304" w:rsidRDefault="00000000">
      <w:pPr>
        <w:numPr>
          <w:ilvl w:val="0"/>
          <w:numId w:val="1"/>
        </w:numPr>
        <w:shd w:val="clear" w:color="auto" w:fill="FFFFFF"/>
        <w:spacing w:line="480" w:lineRule="auto"/>
        <w:rPr>
          <w:sz w:val="24"/>
          <w:szCs w:val="24"/>
        </w:rPr>
      </w:pPr>
      <w:r>
        <w:rPr>
          <w:sz w:val="24"/>
          <w:szCs w:val="24"/>
        </w:rPr>
        <w:t xml:space="preserve">Use SASB to perform a materiality assessment  </w:t>
      </w:r>
    </w:p>
    <w:p w14:paraId="0ABE1BF5" w14:textId="77777777" w:rsidR="00731304" w:rsidRDefault="00000000">
      <w:pPr>
        <w:numPr>
          <w:ilvl w:val="0"/>
          <w:numId w:val="1"/>
        </w:numPr>
        <w:shd w:val="clear" w:color="auto" w:fill="FFFFFF"/>
        <w:spacing w:after="100" w:line="480" w:lineRule="auto"/>
        <w:rPr>
          <w:sz w:val="24"/>
          <w:szCs w:val="24"/>
        </w:rPr>
      </w:pPr>
      <w:r>
        <w:rPr>
          <w:sz w:val="24"/>
          <w:szCs w:val="24"/>
        </w:rPr>
        <w:t xml:space="preserve"> Identify any new metrics needed </w:t>
      </w:r>
    </w:p>
    <w:p w14:paraId="3A4330F0" w14:textId="77777777" w:rsidR="00731304" w:rsidRDefault="00000000">
      <w:pPr>
        <w:shd w:val="clear" w:color="auto" w:fill="FFFFFF"/>
        <w:spacing w:after="100" w:line="480" w:lineRule="auto"/>
        <w:rPr>
          <w:sz w:val="24"/>
          <w:szCs w:val="24"/>
        </w:rPr>
      </w:pPr>
      <w:r>
        <w:rPr>
          <w:sz w:val="24"/>
          <w:szCs w:val="24"/>
        </w:rPr>
        <w:t>(International Sustainability Standards Board 2023)</w:t>
      </w:r>
    </w:p>
    <w:p w14:paraId="3EB94419" w14:textId="77777777" w:rsidR="00731304" w:rsidRDefault="00731304">
      <w:pPr>
        <w:shd w:val="clear" w:color="auto" w:fill="FFFFFF"/>
        <w:spacing w:after="100" w:line="480" w:lineRule="auto"/>
        <w:rPr>
          <w:sz w:val="24"/>
          <w:szCs w:val="24"/>
        </w:rPr>
      </w:pPr>
    </w:p>
    <w:p w14:paraId="647655E9" w14:textId="77777777" w:rsidR="00731304" w:rsidRDefault="00731304">
      <w:pPr>
        <w:shd w:val="clear" w:color="auto" w:fill="FFFFFF"/>
        <w:spacing w:after="100" w:line="480" w:lineRule="auto"/>
        <w:rPr>
          <w:sz w:val="24"/>
          <w:szCs w:val="24"/>
        </w:rPr>
      </w:pPr>
    </w:p>
    <w:p w14:paraId="2ACABBE4" w14:textId="77777777" w:rsidR="00731304" w:rsidRDefault="00731304">
      <w:pPr>
        <w:shd w:val="clear" w:color="auto" w:fill="FFFFFF"/>
        <w:spacing w:after="100" w:line="480" w:lineRule="auto"/>
        <w:rPr>
          <w:sz w:val="24"/>
          <w:szCs w:val="24"/>
        </w:rPr>
      </w:pPr>
    </w:p>
    <w:p w14:paraId="3E96D10D" w14:textId="77777777" w:rsidR="00731304" w:rsidRDefault="00731304">
      <w:pPr>
        <w:shd w:val="clear" w:color="auto" w:fill="FFFFFF"/>
        <w:spacing w:after="100" w:line="480" w:lineRule="auto"/>
        <w:rPr>
          <w:sz w:val="24"/>
          <w:szCs w:val="24"/>
        </w:rPr>
      </w:pPr>
    </w:p>
    <w:p w14:paraId="3ADEB48B" w14:textId="77777777" w:rsidR="00731304" w:rsidRDefault="00731304">
      <w:pPr>
        <w:shd w:val="clear" w:color="auto" w:fill="FFFFFF"/>
        <w:spacing w:after="100" w:line="480" w:lineRule="auto"/>
        <w:rPr>
          <w:sz w:val="24"/>
          <w:szCs w:val="24"/>
        </w:rPr>
      </w:pPr>
    </w:p>
    <w:p w14:paraId="0CC103A7" w14:textId="77777777" w:rsidR="00731304" w:rsidRDefault="00731304">
      <w:pPr>
        <w:shd w:val="clear" w:color="auto" w:fill="FFFFFF"/>
        <w:spacing w:after="100" w:line="480" w:lineRule="auto"/>
        <w:rPr>
          <w:sz w:val="24"/>
          <w:szCs w:val="24"/>
        </w:rPr>
      </w:pPr>
    </w:p>
    <w:p w14:paraId="63B5D843" w14:textId="77777777" w:rsidR="00731304" w:rsidRDefault="00731304">
      <w:pPr>
        <w:shd w:val="clear" w:color="auto" w:fill="FFFFFF"/>
        <w:spacing w:after="100" w:line="480" w:lineRule="auto"/>
        <w:rPr>
          <w:sz w:val="24"/>
          <w:szCs w:val="24"/>
        </w:rPr>
      </w:pPr>
    </w:p>
    <w:p w14:paraId="52365DD4" w14:textId="77777777" w:rsidR="00731304" w:rsidRDefault="00731304">
      <w:pPr>
        <w:shd w:val="clear" w:color="auto" w:fill="FFFFFF"/>
        <w:spacing w:after="100" w:line="480" w:lineRule="auto"/>
        <w:rPr>
          <w:sz w:val="24"/>
          <w:szCs w:val="24"/>
        </w:rPr>
      </w:pPr>
    </w:p>
    <w:p w14:paraId="0ABA5F8B" w14:textId="77777777" w:rsidR="00731304" w:rsidRDefault="00731304">
      <w:pPr>
        <w:shd w:val="clear" w:color="auto" w:fill="FFFFFF"/>
        <w:spacing w:after="100" w:line="480" w:lineRule="auto"/>
        <w:rPr>
          <w:sz w:val="24"/>
          <w:szCs w:val="24"/>
        </w:rPr>
      </w:pPr>
    </w:p>
    <w:p w14:paraId="2AEFFC96" w14:textId="77777777" w:rsidR="00731304" w:rsidRDefault="00731304">
      <w:pPr>
        <w:shd w:val="clear" w:color="auto" w:fill="FFFFFF"/>
        <w:spacing w:after="100" w:line="480" w:lineRule="auto"/>
        <w:rPr>
          <w:sz w:val="24"/>
          <w:szCs w:val="24"/>
        </w:rPr>
      </w:pPr>
    </w:p>
    <w:p w14:paraId="53B9DCF5" w14:textId="77777777" w:rsidR="00731304" w:rsidRDefault="00731304">
      <w:pPr>
        <w:shd w:val="clear" w:color="auto" w:fill="FFFFFF"/>
        <w:spacing w:after="100" w:line="480" w:lineRule="auto"/>
        <w:rPr>
          <w:sz w:val="24"/>
          <w:szCs w:val="24"/>
        </w:rPr>
      </w:pPr>
    </w:p>
    <w:p w14:paraId="1C5E945F" w14:textId="77777777" w:rsidR="00731304" w:rsidRDefault="00731304">
      <w:pPr>
        <w:shd w:val="clear" w:color="auto" w:fill="FFFFFF"/>
        <w:spacing w:after="100" w:line="480" w:lineRule="auto"/>
        <w:rPr>
          <w:sz w:val="24"/>
          <w:szCs w:val="24"/>
        </w:rPr>
      </w:pPr>
    </w:p>
    <w:p w14:paraId="736ED388" w14:textId="77777777" w:rsidR="00731304" w:rsidRDefault="00000000">
      <w:pPr>
        <w:shd w:val="clear" w:color="auto" w:fill="FFFFFF"/>
        <w:spacing w:after="100" w:line="480" w:lineRule="auto"/>
        <w:rPr>
          <w:sz w:val="26"/>
          <w:szCs w:val="26"/>
        </w:rPr>
      </w:pPr>
      <w:r>
        <w:rPr>
          <w:sz w:val="26"/>
          <w:szCs w:val="26"/>
        </w:rPr>
        <w:lastRenderedPageBreak/>
        <w:t>References</w:t>
      </w:r>
    </w:p>
    <w:p w14:paraId="7DB5EC22" w14:textId="77777777" w:rsidR="00731304" w:rsidRDefault="00000000">
      <w:pPr>
        <w:shd w:val="clear" w:color="auto" w:fill="FFFFFF"/>
        <w:spacing w:after="100" w:line="480" w:lineRule="auto"/>
        <w:ind w:left="720" w:hanging="720"/>
        <w:rPr>
          <w:sz w:val="24"/>
          <w:szCs w:val="24"/>
        </w:rPr>
      </w:pPr>
      <w:r>
        <w:rPr>
          <w:sz w:val="24"/>
          <w:szCs w:val="24"/>
        </w:rPr>
        <w:t xml:space="preserve">International Sustainability Standards Board (ISSB). 2023. </w:t>
      </w:r>
      <w:r>
        <w:rPr>
          <w:i/>
          <w:iCs/>
          <w:sz w:val="24"/>
          <w:szCs w:val="24"/>
        </w:rPr>
        <w:t>IFRS S1: General Requirements for Disclosure of Sustainability‑Related Financial Information</w:t>
      </w:r>
      <w:r>
        <w:rPr>
          <w:sz w:val="24"/>
          <w:szCs w:val="24"/>
        </w:rPr>
        <w:t>. London: IFRS Foundation.</w:t>
      </w:r>
      <w:hyperlink r:id="rId5">
        <w:r>
          <w:rPr>
            <w:sz w:val="24"/>
            <w:szCs w:val="24"/>
          </w:rPr>
          <w:t xml:space="preserve"> </w:t>
        </w:r>
      </w:hyperlink>
      <w:hyperlink r:id="rId6">
        <w:r>
          <w:rPr>
            <w:color w:val="1155CC"/>
            <w:sz w:val="24"/>
            <w:szCs w:val="24"/>
            <w:u w:val="single"/>
          </w:rPr>
          <w:t>https://www.ifrs.org/content/dam/ifrs/publications/pdf-standards-issb/english/2023/issued/part-a/issb-2023-a-ifrs-s1-general-requirements-for-disclosure-of-sustainability-related-financial-information.pdf</w:t>
        </w:r>
      </w:hyperlink>
      <w:r>
        <w:rPr>
          <w:sz w:val="24"/>
          <w:szCs w:val="24"/>
        </w:rPr>
        <w:t xml:space="preserve">. </w:t>
      </w:r>
    </w:p>
    <w:p w14:paraId="4730CB90" w14:textId="77777777" w:rsidR="00731304" w:rsidRDefault="00000000">
      <w:pPr>
        <w:shd w:val="clear" w:color="auto" w:fill="FFFFFF"/>
        <w:spacing w:after="100" w:line="480" w:lineRule="auto"/>
        <w:ind w:left="720" w:hanging="720"/>
        <w:rPr>
          <w:sz w:val="24"/>
          <w:szCs w:val="24"/>
        </w:rPr>
      </w:pPr>
      <w:r>
        <w:rPr>
          <w:sz w:val="24"/>
          <w:szCs w:val="24"/>
        </w:rPr>
        <w:t xml:space="preserve">International Sustainability Standards Board (ISSB). 2023. </w:t>
      </w:r>
      <w:r>
        <w:rPr>
          <w:i/>
          <w:iCs/>
          <w:sz w:val="24"/>
          <w:szCs w:val="24"/>
        </w:rPr>
        <w:t>IFRS S2: Climate‑Related Disclosures</w:t>
      </w:r>
      <w:r>
        <w:rPr>
          <w:sz w:val="24"/>
          <w:szCs w:val="24"/>
        </w:rPr>
        <w:t>. London: IFRS Foundation.</w:t>
      </w:r>
      <w:hyperlink r:id="rId7">
        <w:r>
          <w:rPr>
            <w:sz w:val="24"/>
            <w:szCs w:val="24"/>
          </w:rPr>
          <w:t xml:space="preserve"> </w:t>
        </w:r>
      </w:hyperlink>
      <w:hyperlink r:id="rId8">
        <w:r>
          <w:rPr>
            <w:color w:val="1155CC"/>
            <w:sz w:val="24"/>
            <w:szCs w:val="24"/>
            <w:u w:val="single"/>
          </w:rPr>
          <w:t>https://www.ifrs.org/content/dam/ifrs/publications/pdf-standards-issb/english/2023/issued/part-a/issb-2023-a-ifrs-s2-climate-related-disclosures.pdf</w:t>
        </w:r>
      </w:hyperlink>
      <w:r>
        <w:rPr>
          <w:sz w:val="24"/>
          <w:szCs w:val="24"/>
        </w:rPr>
        <w:t xml:space="preserve">. </w:t>
      </w:r>
    </w:p>
    <w:p w14:paraId="35FE2CDA" w14:textId="77777777" w:rsidR="00731304" w:rsidRDefault="00000000">
      <w:pPr>
        <w:shd w:val="clear" w:color="auto" w:fill="FFFFFF"/>
        <w:spacing w:after="100" w:line="480" w:lineRule="auto"/>
        <w:ind w:left="720" w:hanging="720"/>
        <w:rPr>
          <w:sz w:val="24"/>
          <w:szCs w:val="24"/>
        </w:rPr>
      </w:pPr>
      <w:r>
        <w:rPr>
          <w:sz w:val="24"/>
          <w:szCs w:val="24"/>
        </w:rPr>
        <w:t xml:space="preserve">VF Corporation. 2023. </w:t>
      </w:r>
      <w:r>
        <w:rPr>
          <w:i/>
          <w:iCs/>
          <w:sz w:val="24"/>
          <w:szCs w:val="24"/>
        </w:rPr>
        <w:t>Form 10‑K: Notes to Consolidated Financial Statements (Excerpt)</w:t>
      </w:r>
      <w:r>
        <w:rPr>
          <w:sz w:val="24"/>
          <w:szCs w:val="24"/>
        </w:rPr>
        <w:t>. U.S. Securities and Exchange Commission Filing. Accessed May 7, 2026.</w:t>
      </w:r>
      <w:hyperlink r:id="rId9">
        <w:r>
          <w:rPr>
            <w:sz w:val="24"/>
            <w:szCs w:val="24"/>
          </w:rPr>
          <w:t xml:space="preserve"> </w:t>
        </w:r>
      </w:hyperlink>
      <w:hyperlink r:id="rId10">
        <w:r>
          <w:rPr>
            <w:color w:val="1155CC"/>
            <w:sz w:val="24"/>
            <w:szCs w:val="24"/>
            <w:u w:val="single"/>
          </w:rPr>
          <w:t>https://www.vfc.com/investors/financial-information/sec-filings/xbrl_doc_only/14528</w:t>
        </w:r>
      </w:hyperlink>
      <w:r>
        <w:rPr>
          <w:sz w:val="24"/>
          <w:szCs w:val="24"/>
        </w:rPr>
        <w:t xml:space="preserve">. </w:t>
      </w:r>
    </w:p>
    <w:p w14:paraId="730B835B" w14:textId="77777777" w:rsidR="00731304" w:rsidRDefault="00000000">
      <w:pPr>
        <w:shd w:val="clear" w:color="auto" w:fill="FFFFFF"/>
        <w:spacing w:after="100" w:line="480" w:lineRule="auto"/>
        <w:ind w:left="720" w:hanging="720"/>
        <w:rPr>
          <w:sz w:val="24"/>
          <w:szCs w:val="24"/>
        </w:rPr>
      </w:pPr>
      <w:r>
        <w:rPr>
          <w:sz w:val="24"/>
          <w:szCs w:val="24"/>
        </w:rPr>
        <w:t xml:space="preserve">VF Corporation. 2023. </w:t>
      </w:r>
      <w:r>
        <w:rPr>
          <w:i/>
          <w:iCs/>
          <w:sz w:val="24"/>
          <w:szCs w:val="24"/>
        </w:rPr>
        <w:t>FY2023 Environmental &amp; Social Responsibility Report</w:t>
      </w:r>
      <w:r>
        <w:rPr>
          <w:sz w:val="24"/>
          <w:szCs w:val="24"/>
        </w:rPr>
        <w:t>. Denver, CO: VF Corporation.</w:t>
      </w:r>
      <w:hyperlink r:id="rId11">
        <w:r>
          <w:rPr>
            <w:sz w:val="24"/>
            <w:szCs w:val="24"/>
          </w:rPr>
          <w:t xml:space="preserve"> </w:t>
        </w:r>
      </w:hyperlink>
      <w:hyperlink r:id="rId12">
        <w:r>
          <w:rPr>
            <w:color w:val="1155CC"/>
            <w:sz w:val="24"/>
            <w:szCs w:val="24"/>
            <w:u w:val="single"/>
          </w:rPr>
          <w:t>https://d1io3yog0oux5.cloudfront.net/_8976ca631b4350ebfb8ce74b4ebdc137/vfc/files/documents/Sustainability/Resources/VF_FY2023_Environmental_Social_Responsibility_Report_FINAL.pdf</w:t>
        </w:r>
      </w:hyperlink>
      <w:r>
        <w:rPr>
          <w:sz w:val="24"/>
          <w:szCs w:val="24"/>
        </w:rPr>
        <w:t xml:space="preserve">. </w:t>
      </w:r>
    </w:p>
    <w:sectPr w:rsidR="0073130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A2FE8B5C-0C41-4F75-ABD5-839754D75F11}"/>
  </w:font>
  <w:font w:name="Calibri">
    <w:panose1 w:val="020F0502020204030204"/>
    <w:charset w:val="00"/>
    <w:family w:val="swiss"/>
    <w:pitch w:val="variable"/>
    <w:sig w:usb0="E4002EFF" w:usb1="C200247B" w:usb2="00000009" w:usb3="00000000" w:csb0="000001FF" w:csb1="00000000"/>
    <w:embedRegular r:id="rId2" w:fontKey="{B84FF2AB-B583-47A5-AF96-219BEAAB528F}"/>
  </w:font>
  <w:font w:name="Cambria">
    <w:panose1 w:val="02040503050406030204"/>
    <w:charset w:val="00"/>
    <w:family w:val="roman"/>
    <w:pitch w:val="variable"/>
    <w:sig w:usb0="E00006FF" w:usb1="420024FF" w:usb2="02000000" w:usb3="00000000" w:csb0="0000019F" w:csb1="00000000"/>
    <w:embedRegular r:id="rId3" w:fontKey="{5B97F11E-1FF4-4A56-9913-0C14A97D43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62E5B"/>
    <w:multiLevelType w:val="multilevel"/>
    <w:tmpl w:val="500EC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3657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304"/>
    <w:rsid w:val="006D2744"/>
    <w:rsid w:val="00731304"/>
    <w:rsid w:val="00954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3C45F"/>
  <w15:docId w15:val="{FC4410D9-D8C1-49ED-BFF6-B70D9F7D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frs.org/content/dam/ifrs/publications/pdf-standards-issb/english/2023/issued/part-a/issb-2023-a-ifrs-s2-climate-related-disclosures.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frs.org/content/dam/ifrs/publications/pdf-standards-issb/english/2023/issued/part-a/issb-2023-a-ifrs-s2-climate-related-disclosures.pdf" TargetMode="External"/><Relationship Id="rId12" Type="http://schemas.openxmlformats.org/officeDocument/2006/relationships/hyperlink" Target="https://d1io3yog0oux5.cloudfront.net/_8976ca631b4350ebfb8ce74b4ebdc137/vfc/files/documents/Sustainability/Resources/VF_FY2023_Environmental_Social_Responsibility_Report_FINAL.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frs.org/content/dam/ifrs/publications/pdf-standards-issb/english/2023/issued/part-a/issb-2023-a-ifrs-s1-general-requirements-for-disclosure-of-sustainability-related-financial-information.pdf" TargetMode="External"/><Relationship Id="rId11" Type="http://schemas.openxmlformats.org/officeDocument/2006/relationships/hyperlink" Target="https://d1io3yog0oux5.cloudfront.net/_8976ca631b4350ebfb8ce74b4ebdc137/vfc/files/documents/Sustainability/Resources/VF_FY2023_Environmental_Social_Responsibility_Report_FINAL.pdf" TargetMode="External"/><Relationship Id="rId5" Type="http://schemas.openxmlformats.org/officeDocument/2006/relationships/hyperlink" Target="https://www.ifrs.org/content/dam/ifrs/publications/pdf-standards-issb/english/2023/issued/part-a/issb-2023-a-ifrs-s1-general-requirements-for-disclosure-of-sustainability-related-financial-information.pdf" TargetMode="External"/><Relationship Id="rId10" Type="http://schemas.openxmlformats.org/officeDocument/2006/relationships/hyperlink" Target="https://www.vfc.com/investors/financial-information/sec-filings/xbrl_doc_only/14528" TargetMode="External"/><Relationship Id="rId4" Type="http://schemas.openxmlformats.org/officeDocument/2006/relationships/webSettings" Target="webSettings.xml"/><Relationship Id="rId9" Type="http://schemas.openxmlformats.org/officeDocument/2006/relationships/hyperlink" Target="https://www.vfc.com/investors/financial-information/sec-filings/xbrl_doc_only/14528"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865</Words>
  <Characters>4931</Characters>
  <Application>Microsoft Office Word</Application>
  <DocSecurity>0</DocSecurity>
  <Lines>41</Lines>
  <Paragraphs>11</Paragraphs>
  <ScaleCrop>false</ScaleCrop>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breann larson</cp:lastModifiedBy>
  <cp:revision>2</cp:revision>
  <dcterms:created xsi:type="dcterms:W3CDTF">2026-06-05T19:49:00Z</dcterms:created>
  <dcterms:modified xsi:type="dcterms:W3CDTF">2026-06-05T19:49:00Z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f3f1b190-450f-401d-9cce-87b15beda45e</vt:lpwstr>
  </property>
</Properties>
</file>