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40"/>
        <w:jc w:val="center"/>
      </w:pPr>
      <w:r>
        <w:rPr>
          <w:rFonts w:ascii="Arial" w:cs="Arial" w:eastAsia="Arial" w:hAnsi="Arial"/>
          <w:b/>
          <w:bCs/>
          <w:color w:val="1A1A2E"/>
          <w:sz w:val="52"/>
          <w:szCs w:val="52"/>
        </w:rPr>
        <w:t xml:space="preserve">ESTUDIO DE MERCADO</w:t>
      </w:r>
    </w:p>
    <w:p>
      <w:pPr>
        <w:spacing w:before="40" w:after="40"/>
        <w:jc w:val="center"/>
      </w:pPr>
      <w:r>
        <w:rPr>
          <w:rFonts w:ascii="Arial" w:cs="Arial" w:eastAsia="Arial" w:hAnsi="Arial"/>
          <w:i/>
          <w:iCs/>
          <w:color w:val="0F3460"/>
          <w:sz w:val="30"/>
          <w:szCs w:val="30"/>
        </w:rPr>
        <w:t xml:space="preserve">Análisis comparativo para lanzamiento de SaaS con IA</w:t>
      </w:r>
    </w:p>
    <w:p>
      <w:pPr>
        <w:spacing w:before="80" w:after="480"/>
        <w:jc w:val="center"/>
      </w:pPr>
      <w:r>
        <w:rPr>
          <w:rFonts w:ascii="Arial" w:cs="Arial" w:eastAsia="Arial" w:hAnsi="Arial"/>
          <w:color w:val="7F8C8D"/>
          <w:sz w:val="24"/>
          <w:szCs w:val="24"/>
        </w:rPr>
        <w:t xml:space="preserve">Propiedad Horizontal  ·  Propuestas Comerciales  ·  Contratos Legales</w:t>
      </w:r>
    </w:p>
    <w:p>
      <w:pPr>
        <w:spacing w:before="80" w:after="40"/>
        <w:jc w:val="center"/>
      </w:pPr>
      <w:r>
        <w:rPr>
          <w:rFonts w:ascii="Arial" w:cs="Arial" w:eastAsia="Arial" w:hAnsi="Arial"/>
          <w:color w:val="7F8C8D"/>
          <w:sz w:val="22"/>
          <w:szCs w:val="22"/>
        </w:rPr>
        <w:t xml:space="preserve">Preparado para: Joen — Developer / Founder</w:t>
      </w:r>
    </w:p>
    <w:p>
      <w:pPr>
        <w:spacing w:before="0" w:after="0"/>
        <w:jc w:val="center"/>
      </w:pPr>
      <w:r>
        <w:rPr>
          <w:rFonts w:ascii="Arial" w:cs="Arial" w:eastAsia="Arial" w:hAnsi="Arial"/>
          <w:i/>
          <w:iCs/>
          <w:color w:val="7F8C8D"/>
          <w:sz w:val="20"/>
          <w:szCs w:val="20"/>
        </w:rPr>
        <w:t xml:space="preserve">Basado en: Anthropic Economic Index 2026 + investigación de mercado LATAM</w:t>
      </w:r>
    </w:p>
    <w:p>
      <w:pPr>
        <w:spacing w:before="0" w:after="600"/>
        <w:jc w:val="center"/>
      </w:pPr>
      <w:r>
        <w:rPr>
          <w:rFonts w:ascii="Arial" w:cs="Arial" w:eastAsia="Arial" w:hAnsi="Arial"/>
          <w:color w:val="7F8C8D"/>
          <w:sz w:val="20"/>
          <w:szCs w:val="20"/>
        </w:rPr>
        <w:t xml:space="preserve">Marzo 2026</w:t>
      </w:r>
    </w:p>
    <w:p>
      <w:pPr>
        <w:pBdr>
          <w:bottom w:val="single" w:color="BDC3C7" w:sz="4"/>
        </w:pBdr>
        <w:spacing w:before="200" w:after="200"/>
      </w:pPr>
      <w:r>
        <w:t xml:space="preserve"/>
      </w:r>
    </w:p>
    <w:p>
      <w:pPr>
        <w:pStyle w:val="Heading1"/>
        <w:spacing w:before="360" w:after="160"/>
      </w:pPr>
      <w:r>
        <w:rPr>
          <w:rFonts w:ascii="Arial" w:cs="Arial" w:eastAsia="Arial" w:hAnsi="Arial"/>
          <w:b/>
          <w:bCs/>
          <w:color w:val="1A1A2E"/>
          <w:sz w:val="36"/>
          <w:szCs w:val="36"/>
        </w:rPr>
        <w:t xml:space="preserve">1. Resumen Ejecutivo</w:t>
      </w:r>
    </w:p>
    <w:p>
      <w:pPr>
        <w:spacing w:before="80" w:after="80"/>
      </w:pPr>
      <w:r>
        <w:rPr>
          <w:rFonts w:ascii="Arial" w:cs="Arial" w:eastAsia="Arial" w:hAnsi="Arial"/>
          <w:b w:val="false"/>
          <w:bCs w:val="false"/>
          <w:i w:val="false"/>
          <w:iCs w:val="false"/>
          <w:color w:val="2C3E50"/>
          <w:sz w:val="22"/>
          <w:szCs w:val="22"/>
        </w:rPr>
        <w:t xml:space="preserve">Este estudio evalúa tres oportunidades de negocio SaaS con IA para el mercado latinoamericano, comparando tamaño de mercado, competencia real, viabilidad de MVP, rentabilidad proyectada y facilidad de lanzamiento.</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340"/>
        <w:gridCol w:w="234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Criterio</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Propiedad Horizontal</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Propuestas Comerciales</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Contratos Legales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Tamaño mercado LATAM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Alto — +280K copropiedades solo Colombia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Alto — +12M freelancers + agencias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Muy alto — mercado global $902B</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Competencia en LATAM</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 Media — hay jugadores sin IA real</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 Baja — sin producto real lanzado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 Alta — Webdox, OpenAI entrando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Willingness to pay</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$30–$99/mes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$15–$49/mes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$29–$99/mes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Tiempo a MVP</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 8–12 semanas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 3–5 semanas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 6–10 semanas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Churn esperado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Bajo — es operativo diario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Medio — uso esporádico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Bajo-medio — uso por proyecto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CAC estimado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Bajo — comunidades locales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Muy bajo — tú eres el ICP</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Medio-alto — B2B enterprise</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Barrera técnica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Media — lógica de negocio compleja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Baja — principalmente prompt + UI</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Alta — NLP legal requiere fine-tuning</w:t>
            </w:r>
          </w:p>
        </w:tc>
      </w:tr>
      <w:tr>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VEREDICTO</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Mejor a mediano plazo</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Mejor para lanzar YA</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Más riesgo / más largo</w:t>
            </w:r>
          </w:p>
        </w:tc>
      </w:tr>
    </w:tbl>
    <w:p>
      <w:pPr>
        <w:pBdr>
          <w:bottom w:val="single" w:color="BDC3C7" w:sz="4"/>
        </w:pBdr>
        <w:spacing w:before="200" w:after="200"/>
      </w:pPr>
      <w:r>
        <w:t xml:space="preserve"/>
      </w:r>
    </w:p>
    <w:p>
      <w:pPr>
        <w:pStyle w:val="Heading1"/>
        <w:spacing w:before="360" w:after="160"/>
      </w:pPr>
      <w:r>
        <w:rPr>
          <w:rFonts w:ascii="Arial" w:cs="Arial" w:eastAsia="Arial" w:hAnsi="Arial"/>
          <w:b/>
          <w:bCs/>
          <w:color w:val="1A1A2E"/>
          <w:sz w:val="36"/>
          <w:szCs w:val="36"/>
        </w:rPr>
        <w:t xml:space="preserve">2. Propiedad Horizontal — AI SaaS para Administradores</w:t>
      </w:r>
    </w:p>
    <w:p>
      <w:pPr>
        <w:pStyle w:val="Heading2"/>
        <w:spacing w:before="300" w:after="120"/>
      </w:pPr>
      <w:r>
        <w:rPr>
          <w:rFonts w:ascii="Arial" w:cs="Arial" w:eastAsia="Arial" w:hAnsi="Arial"/>
          <w:b/>
          <w:bCs/>
          <w:color w:val="0F3460"/>
          <w:sz w:val="28"/>
          <w:szCs w:val="28"/>
        </w:rPr>
        <w:t xml:space="preserve">2.1 Tamaño y contexto del mercado</w:t>
      </w:r>
    </w:p>
    <w:p>
      <w:pPr>
        <w:spacing w:before="80" w:after="80"/>
      </w:pPr>
      <w:r>
        <w:rPr>
          <w:rFonts w:ascii="Arial" w:cs="Arial" w:eastAsia="Arial" w:hAnsi="Arial"/>
          <w:b w:val="false"/>
          <w:bCs w:val="false"/>
          <w:i w:val="false"/>
          <w:iCs w:val="false"/>
          <w:color w:val="2C3E50"/>
          <w:sz w:val="22"/>
          <w:szCs w:val="22"/>
        </w:rPr>
        <w:t xml:space="preserve">Colombia concentra uno de los mercados de propiedad horizontal más densos de América Latina. Solo en Bogotá existen más de 36.000 conjuntos residenciales registrados, con cerca de 1 millón de predios. En Antioquia hay más de 20.000 copropiedades registradas. Si se extrapola a nivel nacional, el parque total de propiedades horizontales activas en Colombia supera las 180.000–220.000 unidades, entre edificios, conjuntos residenciales cerrados, centros comerciales y condominios mixtos.</w:t>
      </w:r>
    </w:p>
    <w:p>
      <w:pPr>
        <w:spacing w:before="60" w:after="0"/>
      </w:pPr>
      <w:r>
        <w:t xml:space="preserve"/>
      </w:r>
    </w:p>
    <w:p>
      <w:pPr>
        <w:spacing w:before="80" w:after="80"/>
      </w:pPr>
      <w:r>
        <w:rPr>
          <w:rFonts w:ascii="Arial" w:cs="Arial" w:eastAsia="Arial" w:hAnsi="Arial"/>
          <w:b w:val="false"/>
          <w:bCs w:val="false"/>
          <w:i w:val="false"/>
          <w:iCs w:val="false"/>
          <w:color w:val="2C3E50"/>
          <w:sz w:val="22"/>
          <w:szCs w:val="22"/>
        </w:rPr>
        <w:t xml:space="preserve">El sector atraviesa un momento de presión regulatoria que crea una ventana de oportunidad única: el Decreto 768 de 2025 y la reforma a la Ley 675 obligan a todas las copropiedades colombianas a actualizar sus reglamentos, implementar nuevos sistemas de transparencia financiera, y digitalizar asambleas y convocatorias. Esto significa que miles de administradores están buscando activamente herramientas que los ayuden a cumplir. El problema actual no es de adopción — es de oferta. No existe una herramienta que resuelva esto con IA nativa.</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Mercado</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Unidades estimadas</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Potencial mensual SaaS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Colombia (núcleo)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+180,000 copropiedades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$5.4M – $17.8M USD/mes</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México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+300,000 condominios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$9M – $29.7M USD/mes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LATAM total (5 años)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+800,000 unidades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$24M – $79M USD/mes</w:t>
            </w:r>
          </w:p>
        </w:tc>
      </w:tr>
      <w:tr>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Objetivo MVP año 1</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500 copropiedades</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$15,000 – $49,500 MRR</w:t>
            </w:r>
          </w:p>
        </w:tc>
      </w:tr>
    </w:tbl>
    <w:p>
      <w:pPr>
        <w:spacing w:before="120" w:after="0"/>
      </w:pPr>
      <w:r>
        <w:t xml:space="preserve"/>
      </w:r>
    </w:p>
    <w:p>
      <w:pPr>
        <w:pStyle w:val="Heading2"/>
        <w:spacing w:before="300" w:after="120"/>
      </w:pPr>
      <w:r>
        <w:rPr>
          <w:rFonts w:ascii="Arial" w:cs="Arial" w:eastAsia="Arial" w:hAnsi="Arial"/>
          <w:b/>
          <w:bCs/>
          <w:color w:val="0F3460"/>
          <w:sz w:val="28"/>
          <w:szCs w:val="28"/>
        </w:rPr>
        <w:t xml:space="preserve">2.2 Mapa competitivo real en LATAM</w:t>
      </w:r>
    </w:p>
    <w:p>
      <w:pPr>
        <w:spacing w:before="80" w:after="80"/>
      </w:pPr>
      <w:r>
        <w:rPr>
          <w:rFonts w:ascii="Arial" w:cs="Arial" w:eastAsia="Arial" w:hAnsi="Arial"/>
          <w:b w:val="false"/>
          <w:bCs w:val="false"/>
          <w:i w:val="false"/>
          <w:iCs w:val="false"/>
          <w:color w:val="2C3E50"/>
          <w:sz w:val="22"/>
          <w:szCs w:val="22"/>
        </w:rPr>
        <w:t xml:space="preserve">Los competidores existentes ofrecen funcionalidades de gestión básica pero ninguno ha integrado IA de forma significativa. La siguiente tabla desglosa el panorama real:</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20"/>
        <w:gridCol w:w="1800"/>
        <w:gridCol w:w="1500"/>
        <w:gridCol w:w="15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Empresa</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País</w:t>
            </w:r>
          </w:p>
        </w:tc>
        <w:tc>
          <w:tcPr>
            <w:tcW w:type="dxa" w:w="16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¿IA real?</w:t>
            </w:r>
          </w:p>
        </w:tc>
        <w:tc>
          <w:tcPr>
            <w:tcW w:type="dxa" w:w="1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Precio aprox.</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Debilidad principal</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Riesgo para ti</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Munily</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Col/LATAM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Solo menciona IA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No público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Foco en accesos y seguridad</w:t>
            </w:r>
          </w:p>
        </w:tc>
        <w:tc>
          <w:tcPr>
            <w:tcW w:type="dxa" w:w="234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Medio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Eximus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Colombia (Bogotá)</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Sin IA</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Freemium</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Excel glorificado con notificaciones</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Soft-IA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Colombia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Sin IA (solo el nombre)</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Bajo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UX desactualizado</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Neivor</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México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 Parcial</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No público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Foco en finanzas y preventa</w:t>
            </w:r>
          </w:p>
        </w:tc>
        <w:tc>
          <w:tcPr>
            <w:tcW w:type="dxa" w:w="234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Medio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ComunidadFeliz</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Chile</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Sin IA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~$50/mes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Sin localización para Col/Mx</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bl>
    <w:p>
      <w:pPr>
        <w:spacing w:before="120" w:after="0"/>
      </w:pPr>
      <w:r>
        <w:t xml:space="preserve"/>
      </w:r>
    </w:p>
    <w:p>
      <w:pPr>
        <w:pStyle w:val="Heading2"/>
        <w:spacing w:before="300" w:after="120"/>
      </w:pPr>
      <w:r>
        <w:rPr>
          <w:rFonts w:ascii="Arial" w:cs="Arial" w:eastAsia="Arial" w:hAnsi="Arial"/>
          <w:b/>
          <w:bCs/>
          <w:color w:val="0F3460"/>
          <w:sz w:val="28"/>
          <w:szCs w:val="28"/>
        </w:rPr>
        <w:t xml:space="preserve">2.3 Propuesta de valor diferenciada</w:t>
      </w:r>
    </w:p>
    <w:p>
      <w:pPr>
        <w:spacing w:before="80" w:after="80"/>
      </w:pPr>
      <w:r>
        <w:rPr>
          <w:rFonts w:ascii="Arial" w:cs="Arial" w:eastAsia="Arial" w:hAnsi="Arial"/>
          <w:b w:val="false"/>
          <w:bCs w:val="false"/>
          <w:i w:val="false"/>
          <w:iCs w:val="false"/>
          <w:color w:val="2C3E50"/>
          <w:sz w:val="22"/>
          <w:szCs w:val="22"/>
        </w:rPr>
        <w:t xml:space="preserve">El gap concreto que ningún competidor cubre hoy: inteligencia operativa nativa. Todas las herramientas existentes son repositorios de información con algunas automatizaciones básicas. Ninguna usa IA para resolver los problemas más dolorosos del administrador de propiedad horizontal:</w:t>
      </w:r>
    </w:p>
    <w:p>
      <w:pPr>
        <w:spacing w:before="60" w:after="0"/>
      </w:pPr>
      <w:r>
        <w:t xml:space="preserve"/>
      </w:r>
    </w:p>
    <w:p>
      <w:pPr>
        <w:pStyle w:val="ListParagraph"/>
        <w:numPr>
          <w:ilvl w:val="0"/>
          <w:numId w:val="2"/>
        </w:numPr>
        <w:spacing w:before="60" w:after="60"/>
      </w:pPr>
      <w:r>
        <w:rPr>
          <w:rFonts w:ascii="Arial" w:cs="Arial" w:eastAsia="Arial" w:hAnsi="Arial"/>
          <w:color w:val="2C3E50"/>
          <w:sz w:val="22"/>
          <w:szCs w:val="22"/>
        </w:rPr>
        <w:t xml:space="preserve">Generación automática de actas de asamblea en lenguaje legal (Ley 675) — el administrador habla durante la reunión y la IA produce el acta lista para firmar.</w:t>
      </w:r>
    </w:p>
    <w:p>
      <w:pPr>
        <w:pStyle w:val="ListParagraph"/>
        <w:numPr>
          <w:ilvl w:val="0"/>
          <w:numId w:val="2"/>
        </w:numPr>
        <w:spacing w:before="60" w:after="60"/>
      </w:pPr>
      <w:r>
        <w:rPr>
          <w:rFonts w:ascii="Arial" w:cs="Arial" w:eastAsia="Arial" w:hAnsi="Arial"/>
          <w:color w:val="2C3E50"/>
          <w:sz w:val="22"/>
          <w:szCs w:val="22"/>
        </w:rPr>
        <w:t xml:space="preserve">Categorización y respuesta automática de PQRs — la IA lee el mensaje del residente, lo clasifica, genera una respuesta y escala si es necesario.</w:t>
      </w:r>
    </w:p>
    <w:p>
      <w:pPr>
        <w:pStyle w:val="ListParagraph"/>
        <w:numPr>
          <w:ilvl w:val="0"/>
          <w:numId w:val="2"/>
        </w:numPr>
        <w:spacing w:before="60" w:after="60"/>
      </w:pPr>
      <w:r>
        <w:rPr>
          <w:rFonts w:ascii="Arial" w:cs="Arial" w:eastAsia="Arial" w:hAnsi="Arial"/>
          <w:color w:val="2C3E50"/>
          <w:sz w:val="22"/>
          <w:szCs w:val="22"/>
        </w:rPr>
        <w:t xml:space="preserve">Detección de riesgo de morosidad — cruza historial de pagos y genera alertas proactivas con acciones sugeridas.</w:t>
      </w:r>
    </w:p>
    <w:p>
      <w:pPr>
        <w:pStyle w:val="ListParagraph"/>
        <w:numPr>
          <w:ilvl w:val="0"/>
          <w:numId w:val="2"/>
        </w:numPr>
        <w:spacing w:before="60" w:after="60"/>
      </w:pPr>
      <w:r>
        <w:rPr>
          <w:rFonts w:ascii="Arial" w:cs="Arial" w:eastAsia="Arial" w:hAnsi="Arial"/>
          <w:color w:val="2C3E50"/>
          <w:sz w:val="22"/>
          <w:szCs w:val="22"/>
        </w:rPr>
        <w:t xml:space="preserve">Asistente regulatorio — consulta sobre el Decreto 768 de 2025 y la nueva Ley de Propiedad Horizontal en lenguaje simple.</w:t>
      </w:r>
    </w:p>
    <w:p>
      <w:pPr>
        <w:pStyle w:val="ListParagraph"/>
        <w:numPr>
          <w:ilvl w:val="0"/>
          <w:numId w:val="2"/>
        </w:numPr>
        <w:spacing w:before="60" w:after="60"/>
      </w:pPr>
      <w:r>
        <w:rPr>
          <w:rFonts w:ascii="Arial" w:cs="Arial" w:eastAsia="Arial" w:hAnsi="Arial"/>
          <w:color w:val="2C3E50"/>
          <w:sz w:val="22"/>
          <w:szCs w:val="22"/>
        </w:rPr>
        <w:t xml:space="preserve">Generación de presupuesto anual basado en histórico — el mayor dolor de cabeza de fin de año del administrador.</w:t>
      </w:r>
    </w:p>
    <w:p>
      <w:pPr>
        <w:spacing w:before="120" w:after="0"/>
      </w:pPr>
      <w:r>
        <w:t xml:space="preserve"/>
      </w:r>
    </w:p>
    <w:p>
      <w:pPr>
        <w:pStyle w:val="Heading2"/>
        <w:spacing w:before="300" w:after="120"/>
      </w:pPr>
      <w:r>
        <w:rPr>
          <w:rFonts w:ascii="Arial" w:cs="Arial" w:eastAsia="Arial" w:hAnsi="Arial"/>
          <w:b/>
          <w:bCs/>
          <w:color w:val="0F3460"/>
          <w:sz w:val="28"/>
          <w:szCs w:val="28"/>
        </w:rPr>
        <w:t xml:space="preserve">2.4 Modelo financiero MVP — Año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rPr>
          <w:tblHeader/>
        </w:trPr>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Copropiedades</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ARPU/mes</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MRR</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Conservador (mes 12)</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200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$49</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$9,800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Base (mes 12)</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500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$59</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$29,500</w:t>
            </w:r>
          </w:p>
        </w:tc>
      </w:tr>
      <w:tr>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Optimista (mes 18)</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1,200</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$69</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$82,800</w:t>
            </w:r>
          </w:p>
        </w:tc>
      </w:tr>
    </w:tbl>
    <w:p>
      <w:pPr>
        <w:spacing w:before="80" w:after="0"/>
      </w:pPr>
      <w:r>
        <w:t xml:space="preserve"/>
      </w:r>
    </w:p>
    <w:p>
      <w:pPr>
        <w:spacing w:before="80" w:after="80"/>
      </w:pPr>
      <w:r>
        <w:rPr>
          <w:rFonts w:ascii="Arial" w:cs="Arial" w:eastAsia="Arial" w:hAnsi="Arial"/>
          <w:b w:val="false"/>
          <w:bCs w:val="false"/>
          <w:i/>
          <w:iCs/>
          <w:color w:val="7F8C8D"/>
          <w:sz w:val="22"/>
          <w:szCs w:val="22"/>
        </w:rPr>
        <w:t xml:space="preserve">Costos operativos estimados mes 1: API Claude (~$300–500/mes), infraestructura cloud (~$150/mes), dominio + herramientas (~$100/mes). Total: menos de $800/mes para sostener los primeros 100 clientes.</w:t>
      </w:r>
    </w:p>
    <w:p>
      <w:pPr>
        <w:spacing w:before="120" w:after="0"/>
      </w:pPr>
      <w:r>
        <w:t xml:space="preserve"/>
      </w:r>
    </w:p>
    <w:p>
      <w:pPr>
        <w:pStyle w:val="Heading2"/>
        <w:spacing w:before="300" w:after="120"/>
      </w:pPr>
      <w:r>
        <w:rPr>
          <w:rFonts w:ascii="Arial" w:cs="Arial" w:eastAsia="Arial" w:hAnsi="Arial"/>
          <w:b/>
          <w:bCs/>
          <w:color w:val="0F3460"/>
          <w:sz w:val="28"/>
          <w:szCs w:val="28"/>
        </w:rPr>
        <w:t xml:space="preserve">2.5 Go-to-market</w:t>
      </w:r>
    </w:p>
    <w:p>
      <w:pPr>
        <w:pStyle w:val="ListParagraph"/>
        <w:numPr>
          <w:ilvl w:val="0"/>
          <w:numId w:val="3"/>
        </w:numPr>
        <w:spacing w:before="60" w:after="60"/>
      </w:pPr>
      <w:r>
        <w:rPr>
          <w:rFonts w:ascii="Arial" w:cs="Arial" w:eastAsia="Arial" w:hAnsi="Arial"/>
          <w:color w:val="2C3E50"/>
          <w:sz w:val="22"/>
          <w:szCs w:val="22"/>
        </w:rPr>
        <w:t xml:space="preserve">Canal 1 — Agremiaciones: Federación Colombiana de Propiedad Horizontal, grupos de administradores en Facebook/WhatsApp (existen docenas con +5,000 miembros cada uno).</w:t>
      </w:r>
    </w:p>
    <w:p>
      <w:pPr>
        <w:pStyle w:val="ListParagraph"/>
        <w:numPr>
          <w:ilvl w:val="0"/>
          <w:numId w:val="3"/>
        </w:numPr>
        <w:spacing w:before="60" w:after="60"/>
      </w:pPr>
      <w:r>
        <w:rPr>
          <w:rFonts w:ascii="Arial" w:cs="Arial" w:eastAsia="Arial" w:hAnsi="Arial"/>
          <w:color w:val="2C3E50"/>
          <w:sz w:val="22"/>
          <w:szCs w:val="22"/>
        </w:rPr>
        <w:t xml:space="preserve">Canal 2 — Constructoras: aliarse con una constructora mediana que entrega proyectos nuevos. Ellos recomiendan la herramienta a cada administrador que nombran.</w:t>
      </w:r>
    </w:p>
    <w:p>
      <w:pPr>
        <w:pStyle w:val="ListParagraph"/>
        <w:numPr>
          <w:ilvl w:val="0"/>
          <w:numId w:val="3"/>
        </w:numPr>
        <w:spacing w:before="60" w:after="60"/>
      </w:pPr>
      <w:r>
        <w:rPr>
          <w:rFonts w:ascii="Arial" w:cs="Arial" w:eastAsia="Arial" w:hAnsi="Arial"/>
          <w:color w:val="2C3E50"/>
          <w:sz w:val="22"/>
          <w:szCs w:val="22"/>
        </w:rPr>
        <w:t xml:space="preserve">Canal 3 — LinkedIn: los administradores de conjuntos grandes son fácilmente identificables. Outreach directo con demo de 10 minutos.</w:t>
      </w:r>
    </w:p>
    <w:p>
      <w:pPr>
        <w:pStyle w:val="ListParagraph"/>
        <w:numPr>
          <w:ilvl w:val="0"/>
          <w:numId w:val="3"/>
        </w:numPr>
        <w:spacing w:before="60" w:after="60"/>
      </w:pPr>
      <w:r>
        <w:rPr>
          <w:rFonts w:ascii="Arial" w:cs="Arial" w:eastAsia="Arial" w:hAnsi="Arial"/>
          <w:color w:val="2C3E50"/>
          <w:sz w:val="22"/>
          <w:szCs w:val="22"/>
        </w:rPr>
        <w:t xml:space="preserve">Canal 4 — YouTube / Reels educativos sobre el Decreto 768 de 2025 — los administradores están buscando información activamente.</w:t>
      </w:r>
    </w:p>
    <w:p>
      <w:pPr>
        <w:pBdr>
          <w:bottom w:val="single" w:color="BDC3C7" w:sz="4"/>
        </w:pBdr>
        <w:spacing w:before="200" w:after="200"/>
      </w:pPr>
      <w:r>
        <w:t xml:space="preserve"/>
      </w:r>
    </w:p>
    <w:p>
      <w:pPr>
        <w:pStyle w:val="Heading1"/>
        <w:spacing w:before="360" w:after="160"/>
      </w:pPr>
      <w:r>
        <w:rPr>
          <w:rFonts w:ascii="Arial" w:cs="Arial" w:eastAsia="Arial" w:hAnsi="Arial"/>
          <w:b/>
          <w:bCs/>
          <w:color w:val="1A1A2E"/>
          <w:sz w:val="36"/>
          <w:szCs w:val="36"/>
        </w:rPr>
        <w:t xml:space="preserve">3. Generador de Propuestas Comerciales con IA</w:t>
      </w:r>
    </w:p>
    <w:p>
      <w:pPr>
        <w:pStyle w:val="Heading2"/>
        <w:spacing w:before="300" w:after="120"/>
      </w:pPr>
      <w:r>
        <w:rPr>
          <w:rFonts w:ascii="Arial" w:cs="Arial" w:eastAsia="Arial" w:hAnsi="Arial"/>
          <w:b/>
          <w:bCs/>
          <w:color w:val="0F3460"/>
          <w:sz w:val="28"/>
          <w:szCs w:val="28"/>
        </w:rPr>
        <w:t xml:space="preserve">3.1 Tamaño y contexto del mercado</w:t>
      </w:r>
    </w:p>
    <w:p>
      <w:pPr>
        <w:spacing w:before="80" w:after="80"/>
      </w:pPr>
      <w:r>
        <w:rPr>
          <w:rFonts w:ascii="Arial" w:cs="Arial" w:eastAsia="Arial" w:hAnsi="Arial"/>
          <w:b w:val="false"/>
          <w:bCs w:val="false"/>
          <w:i w:val="false"/>
          <w:iCs w:val="false"/>
          <w:color w:val="2C3E50"/>
          <w:sz w:val="22"/>
          <w:szCs w:val="22"/>
        </w:rPr>
        <w:t xml:space="preserve">El mercado freelance latinoamericano es uno de los más activos del mundo. Según Nebeus y Payoneer, los freelancers de LATAM se especializan principalmente en IT (30%) y diseño (40%), con una tarifa promedio de $17/hora. El mercado de plataformas freelance globales se estimó en $6.56 billones en 2024 y crecerá a $14.17 billones en 2029 a un CAGR del 16.66%.</w:t>
      </w:r>
    </w:p>
    <w:p>
      <w:pPr>
        <w:spacing w:before="60" w:after="0"/>
      </w:pPr>
      <w:r>
        <w:t xml:space="preserve"/>
      </w:r>
    </w:p>
    <w:p>
      <w:pPr>
        <w:spacing w:before="80" w:after="80"/>
      </w:pPr>
      <w:r>
        <w:rPr>
          <w:rFonts w:ascii="Arial" w:cs="Arial" w:eastAsia="Arial" w:hAnsi="Arial"/>
          <w:b w:val="false"/>
          <w:bCs w:val="false"/>
          <w:i w:val="false"/>
          <w:iCs w:val="false"/>
          <w:color w:val="2C3E50"/>
          <w:sz w:val="22"/>
          <w:szCs w:val="22"/>
        </w:rPr>
        <w:t xml:space="preserve">El pain point es universal y concreto: crear una propuesta comercial profesional toma entre 2 y 6 horas. Para un freelancer que hace 4 propuestas al mes, eso es hasta 24 horas perdidas solo en documentación. La tasa de conversión promedio de propuestas enviadas es del 20–30%, lo que significa que el 70% de ese tiempo se pierde sin retorno.</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Segmento</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Tamaño estimado LATAM</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Potencial MRR</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Freelancers IT/diseño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+5M activos en plataformas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Segmento masivo / bajo ticket</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Agencias digitales LATAM</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+250,000 agencias medianas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Alto ticket / alta retención</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Consultoras independientes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+800,000 consultores B2B</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Ticket medio / retención alta</w:t>
            </w:r>
          </w:p>
        </w:tc>
      </w:tr>
      <w:tr>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Objetivo MVP año 1</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2,000 usuarios pagos</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$30,000 – $60,000 MRR</w:t>
            </w:r>
          </w:p>
        </w:tc>
      </w:tr>
    </w:tbl>
    <w:p>
      <w:pPr>
        <w:spacing w:before="120" w:after="0"/>
      </w:pPr>
      <w:r>
        <w:t xml:space="preserve"/>
      </w:r>
    </w:p>
    <w:p>
      <w:pPr>
        <w:pStyle w:val="Heading2"/>
        <w:spacing w:before="300" w:after="120"/>
      </w:pPr>
      <w:r>
        <w:rPr>
          <w:rFonts w:ascii="Arial" w:cs="Arial" w:eastAsia="Arial" w:hAnsi="Arial"/>
          <w:b/>
          <w:bCs/>
          <w:color w:val="0F3460"/>
          <w:sz w:val="28"/>
          <w:szCs w:val="28"/>
        </w:rPr>
        <w:t xml:space="preserve">3.2 Mapa competitivo en LATAM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20"/>
        <w:gridCol w:w="1800"/>
        <w:gridCol w:w="1500"/>
        <w:gridCol w:w="15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Empresa</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País</w:t>
            </w:r>
          </w:p>
        </w:tc>
        <w:tc>
          <w:tcPr>
            <w:tcW w:type="dxa" w:w="16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w:t>
            </w:r>
          </w:p>
        </w:tc>
        <w:tc>
          <w:tcPr>
            <w:tcW w:type="dxa" w:w="1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Precio</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Debilidad</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Riesgo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Propuesta.lat</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Argentina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 Solo validando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No lanzado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Sin producto real aún</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PandaDoc</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USA (LATAM)</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 Activo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$49–$149/mes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En inglés, genérico, caro para LATAM</w:t>
            </w:r>
          </w:p>
        </w:tc>
        <w:tc>
          <w:tcPr>
            <w:tcW w:type="dxa" w:w="234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Medio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Proposify</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Canadá (LATAM)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 Activo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$49–$65/mes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Sin IA real, sin localización</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ChatGPT directo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Global</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1E8449"/>
                <w:sz w:val="20"/>
                <w:szCs w:val="20"/>
              </w:rPr>
              <w:t xml:space="preserve">✅ Activo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$20/mes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Sin catálogo, sin branding, sin envío</w:t>
            </w:r>
          </w:p>
        </w:tc>
        <w:tc>
          <w:tcPr>
            <w:tcW w:type="dxa" w:w="234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Alto (indirecto)</w:t>
            </w:r>
          </w:p>
        </w:tc>
      </w:tr>
    </w:tbl>
    <w:p>
      <w:pPr>
        <w:spacing w:before="120" w:after="0"/>
      </w:pPr>
      <w:r>
        <w:t xml:space="preserve"/>
      </w:r>
    </w:p>
    <w:p>
      <w:pPr>
        <w:pStyle w:val="Heading2"/>
        <w:spacing w:before="300" w:after="120"/>
      </w:pPr>
      <w:r>
        <w:rPr>
          <w:rFonts w:ascii="Arial" w:cs="Arial" w:eastAsia="Arial" w:hAnsi="Arial"/>
          <w:b/>
          <w:bCs/>
          <w:color w:val="0F3460"/>
          <w:sz w:val="28"/>
          <w:szCs w:val="28"/>
        </w:rPr>
        <w:t xml:space="preserve">3.3 Propuesta de valor diferenciada</w:t>
      </w:r>
    </w:p>
    <w:p>
      <w:pPr>
        <w:spacing w:before="80" w:after="80"/>
      </w:pPr>
      <w:r>
        <w:rPr>
          <w:rFonts w:ascii="Arial" w:cs="Arial" w:eastAsia="Arial" w:hAnsi="Arial"/>
          <w:b w:val="false"/>
          <w:bCs w:val="false"/>
          <w:i w:val="false"/>
          <w:iCs w:val="false"/>
          <w:color w:val="2C3E50"/>
          <w:sz w:val="22"/>
          <w:szCs w:val="22"/>
        </w:rPr>
        <w:t xml:space="preserve">La diferencia crítica respecto a PandaDoc o ChatGPT es que una herramienta de propuestas para LATAM debe tener:</w:t>
      </w:r>
    </w:p>
    <w:p>
      <w:pPr>
        <w:spacing w:before="60" w:after="0"/>
      </w:pPr>
      <w:r>
        <w:t xml:space="preserve"/>
      </w:r>
    </w:p>
    <w:p>
      <w:pPr>
        <w:pStyle w:val="ListParagraph"/>
        <w:numPr>
          <w:ilvl w:val="0"/>
          <w:numId w:val="2"/>
        </w:numPr>
        <w:spacing w:before="60" w:after="60"/>
      </w:pPr>
      <w:r>
        <w:rPr>
          <w:rFonts w:ascii="Arial" w:cs="Arial" w:eastAsia="Arial" w:hAnsi="Arial"/>
          <w:color w:val="2C3E50"/>
          <w:sz w:val="22"/>
          <w:szCs w:val="22"/>
        </w:rPr>
        <w:t xml:space="preserve">Catálogo personalizable de servicios — el usuario configura sus servicios una vez (React, Node.js, Power Platform, diseño) y la IA arma la propuesta cruzando con el brief del cliente.</w:t>
      </w:r>
    </w:p>
    <w:p>
      <w:pPr>
        <w:pStyle w:val="ListParagraph"/>
        <w:numPr>
          <w:ilvl w:val="0"/>
          <w:numId w:val="2"/>
        </w:numPr>
        <w:spacing w:before="60" w:after="60"/>
      </w:pPr>
      <w:r>
        <w:rPr>
          <w:rFonts w:ascii="Arial" w:cs="Arial" w:eastAsia="Arial" w:hAnsi="Arial"/>
          <w:color w:val="2C3E50"/>
          <w:sz w:val="22"/>
          <w:szCs w:val="22"/>
        </w:rPr>
        <w:t xml:space="preserve">Localización real — precios en COP/MXN/ARS, términos en español legal de cada país, formatos culturalmente apropiados.</w:t>
      </w:r>
    </w:p>
    <w:p>
      <w:pPr>
        <w:pStyle w:val="ListParagraph"/>
        <w:numPr>
          <w:ilvl w:val="0"/>
          <w:numId w:val="2"/>
        </w:numPr>
        <w:spacing w:before="60" w:after="60"/>
      </w:pPr>
      <w:r>
        <w:rPr>
          <w:rFonts w:ascii="Arial" w:cs="Arial" w:eastAsia="Arial" w:hAnsi="Arial"/>
          <w:color w:val="2C3E50"/>
          <w:sz w:val="22"/>
          <w:szCs w:val="22"/>
        </w:rPr>
        <w:t xml:space="preserve">Integración con envío y firma — la propuesta sale directamente como PDF branded + link de firma digital.</w:t>
      </w:r>
    </w:p>
    <w:p>
      <w:pPr>
        <w:pStyle w:val="ListParagraph"/>
        <w:numPr>
          <w:ilvl w:val="0"/>
          <w:numId w:val="2"/>
        </w:numPr>
        <w:spacing w:before="60" w:after="60"/>
      </w:pPr>
      <w:r>
        <w:rPr>
          <w:rFonts w:ascii="Arial" w:cs="Arial" w:eastAsia="Arial" w:hAnsi="Arial"/>
          <w:color w:val="2C3E50"/>
          <w:sz w:val="22"/>
          <w:szCs w:val="22"/>
        </w:rPr>
        <w:t xml:space="preserve">Tracking — el cliente abre la propuesta, el freelancer recibe notificación en WhatsApp.</w:t>
      </w:r>
    </w:p>
    <w:p>
      <w:pPr>
        <w:pStyle w:val="ListParagraph"/>
        <w:numPr>
          <w:ilvl w:val="0"/>
          <w:numId w:val="2"/>
        </w:numPr>
        <w:spacing w:before="60" w:after="60"/>
      </w:pPr>
      <w:r>
        <w:rPr>
          <w:rFonts w:ascii="Arial" w:cs="Arial" w:eastAsia="Arial" w:hAnsi="Arial"/>
          <w:color w:val="2C3E50"/>
          <w:sz w:val="22"/>
          <w:szCs w:val="22"/>
        </w:rPr>
        <w:t xml:space="preserve">Templates por industria — propuesta de desarrollo web no es igual a propuesta de automatización de procesos ni de consultoría de marketing.</w:t>
      </w:r>
    </w:p>
    <w:p>
      <w:pPr>
        <w:spacing w:before="80" w:after="0"/>
      </w:pPr>
      <w:r>
        <w:t xml:space="preserve"/>
      </w:r>
    </w:p>
    <w:p>
      <w:pPr>
        <w:spacing w:before="200" w:after="80"/>
      </w:pPr>
      <w:r>
        <w:rPr>
          <w:rFonts w:ascii="Arial" w:cs="Arial" w:eastAsia="Arial" w:hAnsi="Arial"/>
          <w:b/>
          <w:bCs/>
          <w:color w:val="1B4F72"/>
          <w:sz w:val="24"/>
          <w:szCs w:val="24"/>
        </w:rPr>
        <w:t xml:space="preserve">🚨 Ventaja personal para Joen</w:t>
      </w:r>
    </w:p>
    <w:p>
      <w:pPr>
        <w:spacing w:before="80" w:after="80"/>
      </w:pPr>
      <w:r>
        <w:rPr>
          <w:rFonts w:ascii="Arial" w:cs="Arial" w:eastAsia="Arial" w:hAnsi="Arial"/>
          <w:b/>
          <w:bCs/>
          <w:i w:val="false"/>
          <w:iCs w:val="false"/>
          <w:color w:val="1E8449"/>
          <w:sz w:val="22"/>
          <w:szCs w:val="22"/>
        </w:rPr>
        <w:t xml:space="preserve">Tú eres el ICP (Ideal Customer Profile). Llevas años haciendo propuestas en Upwork y para clientes locales. Puedes construir la primera versión para tu propio dolor, con templates que tú mismo validaste, y venderla en las mismas comunidades donde ya estás activo. El CAC inicial es literalmente $0.</w:t>
      </w:r>
    </w:p>
    <w:p>
      <w:pPr>
        <w:spacing w:before="120" w:after="0"/>
      </w:pPr>
      <w:r>
        <w:t xml:space="preserve"/>
      </w:r>
    </w:p>
    <w:p>
      <w:pPr>
        <w:pStyle w:val="Heading2"/>
        <w:spacing w:before="300" w:after="120"/>
      </w:pPr>
      <w:r>
        <w:rPr>
          <w:rFonts w:ascii="Arial" w:cs="Arial" w:eastAsia="Arial" w:hAnsi="Arial"/>
          <w:b/>
          <w:bCs/>
          <w:color w:val="0F3460"/>
          <w:sz w:val="28"/>
          <w:szCs w:val="28"/>
        </w:rPr>
        <w:t xml:space="preserve">3.4 Modelo financiero MVP — Año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rPr>
          <w:tblHeader/>
        </w:trPr>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Usuarios pagos</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ARPU/mes</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MRR</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Conservador (mes 6)</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300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$19</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$5,700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Base (mes 12)</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1,500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$25</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$37,500</w:t>
            </w:r>
          </w:p>
        </w:tc>
      </w:tr>
      <w:tr>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Optimista (mes 18)</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5,000</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$29</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$145,000</w:t>
            </w:r>
          </w:p>
        </w:tc>
      </w:tr>
    </w:tbl>
    <w:p>
      <w:pPr>
        <w:spacing w:before="80" w:after="0"/>
      </w:pPr>
      <w:r>
        <w:t xml:space="preserve"/>
      </w:r>
    </w:p>
    <w:p>
      <w:pPr>
        <w:spacing w:before="80" w:after="80"/>
      </w:pPr>
      <w:r>
        <w:rPr>
          <w:rFonts w:ascii="Arial" w:cs="Arial" w:eastAsia="Arial" w:hAnsi="Arial"/>
          <w:b w:val="false"/>
          <w:bCs w:val="false"/>
          <w:i/>
          <w:iCs/>
          <w:color w:val="7F8C8D"/>
          <w:sz w:val="22"/>
          <w:szCs w:val="22"/>
        </w:rPr>
        <w:t xml:space="preserve">Nota: El escenario optimista se apoya en la escala — 5,000 usuarios a $29/mes es perfectamente alcanzable con viralidad en comunidades de freelancers. El producto tiene potencial de crecimiento orgánico alto porque los clientes ven la propuesta e inevitablemente preguntan '¿con qué la hiciste?'</w:t>
      </w:r>
    </w:p>
    <w:p>
      <w:pPr>
        <w:spacing w:before="120" w:after="0"/>
      </w:pPr>
      <w:r>
        <w:t xml:space="preserve"/>
      </w:r>
    </w:p>
    <w:p>
      <w:pPr>
        <w:pStyle w:val="Heading2"/>
        <w:spacing w:before="300" w:after="120"/>
      </w:pPr>
      <w:r>
        <w:rPr>
          <w:rFonts w:ascii="Arial" w:cs="Arial" w:eastAsia="Arial" w:hAnsi="Arial"/>
          <w:b/>
          <w:bCs/>
          <w:color w:val="0F3460"/>
          <w:sz w:val="28"/>
          <w:szCs w:val="28"/>
        </w:rPr>
        <w:t xml:space="preserve">3.5 Alcance del MVP (3–5 semanas)</w:t>
      </w:r>
    </w:p>
    <w:p>
      <w:pPr>
        <w:pStyle w:val="ListParagraph"/>
        <w:numPr>
          <w:ilvl w:val="0"/>
          <w:numId w:val="3"/>
        </w:numPr>
        <w:spacing w:before="60" w:after="60"/>
      </w:pPr>
      <w:r>
        <w:rPr>
          <w:rFonts w:ascii="Arial" w:cs="Arial" w:eastAsia="Arial" w:hAnsi="Arial"/>
          <w:color w:val="2C3E50"/>
          <w:sz w:val="22"/>
          <w:szCs w:val="22"/>
        </w:rPr>
        <w:t xml:space="preserve">Semana 1–2: Onboarding con catálogo de servicios personalizable. UI para ingresar el brief del cliente.</w:t>
      </w:r>
    </w:p>
    <w:p>
      <w:pPr>
        <w:pStyle w:val="ListParagraph"/>
        <w:numPr>
          <w:ilvl w:val="0"/>
          <w:numId w:val="3"/>
        </w:numPr>
        <w:spacing w:before="60" w:after="60"/>
      </w:pPr>
      <w:r>
        <w:rPr>
          <w:rFonts w:ascii="Arial" w:cs="Arial" w:eastAsia="Arial" w:hAnsi="Arial"/>
          <w:color w:val="2C3E50"/>
          <w:sz w:val="22"/>
          <w:szCs w:val="22"/>
        </w:rPr>
        <w:t xml:space="preserve">Semana 2–3: Integración con Claude API para generación de la propuesta estructurada (5 secciones: resumen, alcance, cronograma, inversión, términos).</w:t>
      </w:r>
    </w:p>
    <w:p>
      <w:pPr>
        <w:pStyle w:val="ListParagraph"/>
        <w:numPr>
          <w:ilvl w:val="0"/>
          <w:numId w:val="3"/>
        </w:numPr>
        <w:spacing w:before="60" w:after="60"/>
      </w:pPr>
      <w:r>
        <w:rPr>
          <w:rFonts w:ascii="Arial" w:cs="Arial" w:eastAsia="Arial" w:hAnsi="Arial"/>
          <w:color w:val="2C3E50"/>
          <w:sz w:val="22"/>
          <w:szCs w:val="22"/>
        </w:rPr>
        <w:t xml:space="preserve">Semana 3–4: Exportación a PDF branded + sistema de envío por link. Notificación cuando el cliente abre.</w:t>
      </w:r>
    </w:p>
    <w:p>
      <w:pPr>
        <w:pStyle w:val="ListParagraph"/>
        <w:numPr>
          <w:ilvl w:val="0"/>
          <w:numId w:val="3"/>
        </w:numPr>
        <w:spacing w:before="60" w:after="60"/>
      </w:pPr>
      <w:r>
        <w:rPr>
          <w:rFonts w:ascii="Arial" w:cs="Arial" w:eastAsia="Arial" w:hAnsi="Arial"/>
          <w:color w:val="2C3E50"/>
          <w:sz w:val="22"/>
          <w:szCs w:val="22"/>
        </w:rPr>
        <w:t xml:space="preserve">Semana 4–5: Freemium (3 propuestas gratis) + integración Stripe para upgrade. Landing page + onboarding en Indie Hackers, Workana, grupos de Facebook.</w:t>
      </w:r>
    </w:p>
    <w:p>
      <w:pPr>
        <w:pBdr>
          <w:bottom w:val="single" w:color="BDC3C7" w:sz="4"/>
        </w:pBdr>
        <w:spacing w:before="200" w:after="200"/>
      </w:pPr>
      <w:r>
        <w:t xml:space="preserve"/>
      </w:r>
    </w:p>
    <w:p>
      <w:pPr>
        <w:pStyle w:val="Heading1"/>
        <w:spacing w:before="360" w:after="160"/>
      </w:pPr>
      <w:r>
        <w:rPr>
          <w:rFonts w:ascii="Arial" w:cs="Arial" w:eastAsia="Arial" w:hAnsi="Arial"/>
          <w:b/>
          <w:bCs/>
          <w:color w:val="1A1A2E"/>
          <w:sz w:val="36"/>
          <w:szCs w:val="36"/>
        </w:rPr>
        <w:t xml:space="preserve">4. AI para Revisión de Contratos Legales</w:t>
      </w:r>
    </w:p>
    <w:p>
      <w:pPr>
        <w:pStyle w:val="Heading2"/>
        <w:spacing w:before="300" w:after="120"/>
      </w:pPr>
      <w:r>
        <w:rPr>
          <w:rFonts w:ascii="Arial" w:cs="Arial" w:eastAsia="Arial" w:hAnsi="Arial"/>
          <w:b/>
          <w:bCs/>
          <w:color w:val="0F3460"/>
          <w:sz w:val="28"/>
          <w:szCs w:val="28"/>
        </w:rPr>
        <w:t xml:space="preserve">4.1 Tamaño y contexto del mercado</w:t>
      </w:r>
    </w:p>
    <w:p>
      <w:pPr>
        <w:spacing w:before="80" w:after="80"/>
      </w:pPr>
      <w:r>
        <w:rPr>
          <w:rFonts w:ascii="Arial" w:cs="Arial" w:eastAsia="Arial" w:hAnsi="Arial"/>
          <w:b w:val="false"/>
          <w:bCs w:val="false"/>
          <w:i w:val="false"/>
          <w:iCs w:val="false"/>
          <w:color w:val="2C3E50"/>
          <w:sz w:val="22"/>
          <w:szCs w:val="22"/>
        </w:rPr>
        <w:t xml:space="preserve">El mercado global de servicios legales fue valorado en $735 billones en 2024, con crecimiento proyectado a $902 billones para 2033. El segmento de AI para gestión de contratos tiene un CAGR del 34.2% para el período 2026–2035, con un valor de mercado de $4.21 billones en 2025. El dolor es real y bien documentado: según el análisis de Lawful.com 2025, una revisión legal de contrato cuesta entre $300 y $1,000 por documento — completamente inaccesible para PYMEs y freelancers.</w:t>
      </w:r>
    </w:p>
    <w:p>
      <w:pPr>
        <w:spacing w:before="60" w:after="0"/>
      </w:pPr>
      <w:r>
        <w:t xml:space="preserve"/>
      </w:r>
    </w:p>
    <w:p>
      <w:pPr>
        <w:spacing w:before="80" w:after="80"/>
      </w:pPr>
      <w:r>
        <w:rPr>
          <w:rFonts w:ascii="Arial" w:cs="Arial" w:eastAsia="Arial" w:hAnsi="Arial"/>
          <w:b w:val="false"/>
          <w:bCs w:val="false"/>
          <w:i w:val="false"/>
          <w:iCs w:val="false"/>
          <w:color w:val="2C3E50"/>
          <w:sz w:val="22"/>
          <w:szCs w:val="22"/>
        </w:rPr>
        <w:t xml:space="preserve">El 71% de las empresas no puede localizar al menos el 10% de sus contratos. El 42% no tiene responsabilidad clara para la gestión de contratos. El 11% de las empresas califica sus procesos contractuales como 'muy efectivos'. Estos números describen una oportunidad enorme — pero también un mercado donde ya están llegando jugadores masivos.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Dato clave</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Fuente</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Implicación</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Revisión de contrato: $300–$1,000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Lawful.com 2025</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Enorme gap de precio en PYMEs</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CAGR AI Legal: 33.63%</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Global Growth Insights 2025</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Mercado en hipercrecimiento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OpenAI lanzó Contract Data Agent</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Artificial Lawyer, 2025</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Big Tech entrando directo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Webdox: solo Derecho Laboral en Chile</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Webdox.com 2026</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Localización LATAM incompleta</w:t>
            </w:r>
          </w:p>
        </w:tc>
      </w:tr>
    </w:tbl>
    <w:p>
      <w:pPr>
        <w:spacing w:before="120" w:after="0"/>
      </w:pPr>
      <w:r>
        <w:t xml:space="preserve"/>
      </w:r>
    </w:p>
    <w:p>
      <w:pPr>
        <w:pStyle w:val="Heading2"/>
        <w:spacing w:before="300" w:after="120"/>
      </w:pPr>
      <w:r>
        <w:rPr>
          <w:rFonts w:ascii="Arial" w:cs="Arial" w:eastAsia="Arial" w:hAnsi="Arial"/>
          <w:b/>
          <w:bCs/>
          <w:color w:val="0F3460"/>
          <w:sz w:val="28"/>
          <w:szCs w:val="28"/>
        </w:rPr>
        <w:t xml:space="preserve">4.2 Mapa competitivo — La amenaza real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20"/>
        <w:gridCol w:w="1800"/>
        <w:gridCol w:w="1500"/>
        <w:gridCol w:w="15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Empresa</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País</w:t>
            </w:r>
          </w:p>
        </w:tc>
        <w:tc>
          <w:tcPr>
            <w:tcW w:type="dxa" w:w="16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Nivel</w:t>
            </w:r>
          </w:p>
        </w:tc>
        <w:tc>
          <w:tcPr>
            <w:tcW w:type="dxa" w:w="18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Gap explotable</w:t>
            </w:r>
          </w:p>
        </w:tc>
        <w:tc>
          <w:tcPr>
            <w:tcW w:type="dxa" w:w="15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Riesgo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Webdox CLM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Chile/LATAM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Enterprise</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Corporativos grandes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Solo Chile, solo enterprise</w:t>
            </w:r>
          </w:p>
        </w:tc>
        <w:tc>
          <w:tcPr>
            <w:tcW w:type="dxa" w:w="234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Medio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OpenAI Contract Agent</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USA/Global</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Big Tech</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Enterprise IT</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Sin localización LATAM</w:t>
            </w:r>
          </w:p>
        </w:tc>
        <w:tc>
          <w:tcPr>
            <w:tcW w:type="dxa" w:w="234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Alto</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bCs/>
                <w:color w:val="2C3E50"/>
                <w:sz w:val="20"/>
                <w:szCs w:val="20"/>
              </w:rPr>
              <w:t xml:space="preserve">Harvey AI</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USA</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 Enterprise</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Grandes firmas legales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Solo inglés, $1,000+/mes</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LemonSuite</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Chile/LATAM</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D35400"/>
                <w:sz w:val="20"/>
                <w:szCs w:val="20"/>
              </w:rPr>
              <w:t xml:space="preserve">🟡 Mid-market</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Firmas legales medianas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No orientado a PYMEs</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Bajo</w:t>
            </w:r>
          </w:p>
        </w:tc>
      </w:tr>
    </w:tbl>
    <w:p>
      <w:pPr>
        <w:spacing w:before="80" w:after="0"/>
      </w:pPr>
      <w:r>
        <w:t xml:space="preserve"/>
      </w:r>
    </w:p>
    <w:p>
      <w:pPr>
        <w:spacing w:before="200" w:after="80"/>
      </w:pPr>
      <w:r>
        <w:rPr>
          <w:rFonts w:ascii="Arial" w:cs="Arial" w:eastAsia="Arial" w:hAnsi="Arial"/>
          <w:b/>
          <w:bCs/>
          <w:color w:val="C0392B"/>
          <w:sz w:val="24"/>
          <w:szCs w:val="24"/>
        </w:rPr>
        <w:t xml:space="preserve">⚠️ Señal de alerta</w:t>
      </w:r>
    </w:p>
    <w:p>
      <w:pPr>
        <w:spacing w:before="80" w:after="80"/>
      </w:pPr>
      <w:r>
        <w:rPr>
          <w:rFonts w:ascii="Arial" w:cs="Arial" w:eastAsia="Arial" w:hAnsi="Arial"/>
          <w:b w:val="false"/>
          <w:bCs w:val="false"/>
          <w:i w:val="false"/>
          <w:iCs w:val="false"/>
          <w:color w:val="C0392B"/>
          <w:sz w:val="22"/>
          <w:szCs w:val="22"/>
        </w:rPr>
        <w:t xml:space="preserve">OpenAI lanzó su Contract Data Agent en 2025 apuntando directo al mercado enterprise. Aunque inicialmente en inglés, la barrera de entrada de localización para LATAM es temporal — probablemente 12–18 meses. Esto significa que la ventana para posicionarse en el nicho PYME hispanoparlante existe pero no es permanente.</w:t>
      </w:r>
    </w:p>
    <w:p>
      <w:pPr>
        <w:spacing w:before="120" w:after="0"/>
      </w:pPr>
      <w:r>
        <w:t xml:space="preserve"/>
      </w:r>
    </w:p>
    <w:p>
      <w:pPr>
        <w:pStyle w:val="Heading2"/>
        <w:spacing w:before="300" w:after="120"/>
      </w:pPr>
      <w:r>
        <w:rPr>
          <w:rFonts w:ascii="Arial" w:cs="Arial" w:eastAsia="Arial" w:hAnsi="Arial"/>
          <w:b/>
          <w:bCs/>
          <w:color w:val="0F3460"/>
          <w:sz w:val="28"/>
          <w:szCs w:val="28"/>
        </w:rPr>
        <w:t xml:space="preserve">4.3 Propuesta de valor diferenciada</w:t>
      </w:r>
    </w:p>
    <w:p>
      <w:pPr>
        <w:spacing w:before="80" w:after="80"/>
      </w:pPr>
      <w:r>
        <w:rPr>
          <w:rFonts w:ascii="Arial" w:cs="Arial" w:eastAsia="Arial" w:hAnsi="Arial"/>
          <w:b w:val="false"/>
          <w:bCs w:val="false"/>
          <w:i w:val="false"/>
          <w:iCs w:val="false"/>
          <w:color w:val="2C3E50"/>
          <w:sz w:val="22"/>
          <w:szCs w:val="22"/>
        </w:rPr>
        <w:t xml:space="preserve">El único ángulo defensible ante OpenAI y Webdox es la localización extrema combinada con un precio accesible para PYMEs. Los elementos que crean una barrera:</w:t>
      </w:r>
    </w:p>
    <w:p>
      <w:pPr>
        <w:spacing w:before="60" w:after="0"/>
      </w:pPr>
      <w:r>
        <w:t xml:space="preserve"/>
      </w:r>
    </w:p>
    <w:p>
      <w:pPr>
        <w:pStyle w:val="ListParagraph"/>
        <w:numPr>
          <w:ilvl w:val="0"/>
          <w:numId w:val="2"/>
        </w:numPr>
        <w:spacing w:before="60" w:after="60"/>
      </w:pPr>
      <w:r>
        <w:rPr>
          <w:rFonts w:ascii="Arial" w:cs="Arial" w:eastAsia="Arial" w:hAnsi="Arial"/>
          <w:color w:val="2C3E50"/>
          <w:sz w:val="22"/>
          <w:szCs w:val="22"/>
        </w:rPr>
        <w:t xml:space="preserve">Marcos legales específicos por país: derecho comercial colombiano, ley de contratos mexicana, normativa argentina — esto requiere conocimiento que los players globales no van a construir rápido.</w:t>
      </w:r>
    </w:p>
    <w:p>
      <w:pPr>
        <w:pStyle w:val="ListParagraph"/>
        <w:numPr>
          <w:ilvl w:val="0"/>
          <w:numId w:val="2"/>
        </w:numPr>
        <w:spacing w:before="60" w:after="60"/>
      </w:pPr>
      <w:r>
        <w:rPr>
          <w:rFonts w:ascii="Arial" w:cs="Arial" w:eastAsia="Arial" w:hAnsi="Arial"/>
          <w:color w:val="2C3E50"/>
          <w:sz w:val="22"/>
          <w:szCs w:val="22"/>
        </w:rPr>
        <w:t xml:space="preserve">Precio PYME: $29–$49/mes para una empresa que hoy paga $300–$1,000 por contrato revisado por un abogado.</w:t>
      </w:r>
    </w:p>
    <w:p>
      <w:pPr>
        <w:pStyle w:val="ListParagraph"/>
        <w:numPr>
          <w:ilvl w:val="0"/>
          <w:numId w:val="2"/>
        </w:numPr>
        <w:spacing w:before="60" w:after="60"/>
      </w:pPr>
      <w:r>
        <w:rPr>
          <w:rFonts w:ascii="Arial" w:cs="Arial" w:eastAsia="Arial" w:hAnsi="Arial"/>
          <w:color w:val="2C3E50"/>
          <w:sz w:val="22"/>
          <w:szCs w:val="22"/>
        </w:rPr>
        <w:t xml:space="preserve">UX sin fricción: el usuario sube el PDF, recibe el reporte en 60 segundos con semáforos de riesgo y sugerencias en lenguaje simple.</w:t>
      </w:r>
    </w:p>
    <w:p>
      <w:pPr>
        <w:pStyle w:val="ListParagraph"/>
        <w:numPr>
          <w:ilvl w:val="0"/>
          <w:numId w:val="2"/>
        </w:numPr>
        <w:spacing w:before="60" w:after="60"/>
      </w:pPr>
      <w:r>
        <w:rPr>
          <w:rFonts w:ascii="Arial" w:cs="Arial" w:eastAsia="Arial" w:hAnsi="Arial"/>
          <w:color w:val="2C3E50"/>
          <w:sz w:val="22"/>
          <w:szCs w:val="22"/>
        </w:rPr>
        <w:t xml:space="preserve">No reemplaza abogados — eso es el posicionamiento. Es un pre-filtro inteligente antes de llevar el contrato al abogado (reduces el tiempo de consulta de 2 horas a 20 minutos).</w:t>
      </w:r>
    </w:p>
    <w:p>
      <w:pPr>
        <w:spacing w:before="120" w:after="0"/>
      </w:pPr>
      <w:r>
        <w:t xml:space="preserve"/>
      </w:r>
    </w:p>
    <w:p>
      <w:pPr>
        <w:pStyle w:val="Heading2"/>
        <w:spacing w:before="300" w:after="120"/>
      </w:pPr>
      <w:r>
        <w:rPr>
          <w:rFonts w:ascii="Arial" w:cs="Arial" w:eastAsia="Arial" w:hAnsi="Arial"/>
          <w:b/>
          <w:bCs/>
          <w:color w:val="0F3460"/>
          <w:sz w:val="28"/>
          <w:szCs w:val="28"/>
        </w:rPr>
        <w:t xml:space="preserve">4.4 Modelo financiero y dificultad de construcción</w:t>
      </w:r>
    </w:p>
    <w:p>
      <w:pPr>
        <w:spacing w:before="80" w:after="80"/>
      </w:pPr>
      <w:r>
        <w:rPr>
          <w:rFonts w:ascii="Arial" w:cs="Arial" w:eastAsia="Arial" w:hAnsi="Arial"/>
          <w:b w:val="false"/>
          <w:bCs w:val="false"/>
          <w:i w:val="false"/>
          <w:iCs w:val="false"/>
          <w:color w:val="2C3E50"/>
          <w:sz w:val="22"/>
          <w:szCs w:val="22"/>
        </w:rPr>
        <w:t xml:space="preserve">La barrera técnica es significativamente más alta que las otras dos opciones. El NLP legal requiere prompt engineering muy cuidadoso, validación con abogados reales, y manejo responsable del disclaimer 'esto no es consejo legal'. La confianza del usuario tarda más en construirse porque el riesgo percibido es mayor — si la herramienta falla y alguien firma un contrato con una cláusula peligrosa, el daño reputacional es severo.</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rPr>
          <w:tblHeader/>
        </w:trPr>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Usuarios pagos</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ARPU/mes</w:t>
            </w:r>
          </w:p>
        </w:tc>
        <w:tc>
          <w:tcPr>
            <w:tcW w:type="dxa" w:w="2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MRR</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Conservador (mes 12)</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150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$49</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$7,350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Base (mes 18)</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600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$59</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$35,400</w:t>
            </w:r>
          </w:p>
        </w:tc>
      </w:tr>
      <w:tr>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Optimista (mes 24)</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1,500</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$79</w:t>
            </w:r>
          </w:p>
        </w:tc>
        <w:tc>
          <w:tcPr>
            <w:tcW w:type="dxa" w:w="2340"/>
            <w:tcBorders>
              <w:top w:val="single" w:color="BDC3C7" w:sz="1"/>
              <w:left w:val="single" w:color="BDC3C7" w:sz="1"/>
              <w:bottom w:val="single" w:color="BDC3C7" w:sz="1"/>
              <w:right w:val="single" w:color="BDC3C7" w:sz="1"/>
            </w:tcBorders>
            <w:shd w:fill="EAFAF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$118,500</w:t>
            </w:r>
          </w:p>
        </w:tc>
      </w:tr>
    </w:tbl>
    <w:p>
      <w:pPr>
        <w:spacing w:before="80" w:after="0"/>
      </w:pPr>
      <w:r>
        <w:t xml:space="preserve"/>
      </w:r>
    </w:p>
    <w:p>
      <w:pPr>
        <w:spacing w:before="80" w:after="80"/>
      </w:pPr>
      <w:r>
        <w:rPr>
          <w:rFonts w:ascii="Arial" w:cs="Arial" w:eastAsia="Arial" w:hAnsi="Arial"/>
          <w:b w:val="false"/>
          <w:bCs w:val="false"/>
          <w:i/>
          <w:iCs/>
          <w:color w:val="7F8C8D"/>
          <w:sz w:val="22"/>
          <w:szCs w:val="22"/>
        </w:rPr>
        <w:t xml:space="preserve">Los números son atractivos pero el timeline es 6–12 meses más largo que las otras dos opciones para alcanzar los mismos MRR, con más riesgo reputacional y mayor presión de competencia entrante.</w:t>
      </w:r>
    </w:p>
    <w:p>
      <w:pPr>
        <w:pBdr>
          <w:bottom w:val="single" w:color="BDC3C7" w:sz="4"/>
        </w:pBdr>
        <w:spacing w:before="200" w:after="200"/>
      </w:pPr>
      <w:r>
        <w:t xml:space="preserve"/>
      </w:r>
    </w:p>
    <w:p>
      <w:pPr>
        <w:pStyle w:val="Heading1"/>
        <w:spacing w:before="360" w:after="160"/>
      </w:pPr>
      <w:r>
        <w:rPr>
          <w:rFonts w:ascii="Arial" w:cs="Arial" w:eastAsia="Arial" w:hAnsi="Arial"/>
          <w:b/>
          <w:bCs/>
          <w:color w:val="1A1A2E"/>
          <w:sz w:val="36"/>
          <w:szCs w:val="36"/>
        </w:rPr>
        <w:t xml:space="preserve">5. Comparativa Final y Veredicto</w:t>
      </w:r>
    </w:p>
    <w:p>
      <w:pPr>
        <w:pStyle w:val="Heading2"/>
        <w:spacing w:before="300" w:after="120"/>
      </w:pPr>
      <w:r>
        <w:rPr>
          <w:rFonts w:ascii="Arial" w:cs="Arial" w:eastAsia="Arial" w:hAnsi="Arial"/>
          <w:b/>
          <w:bCs/>
          <w:color w:val="0F3460"/>
          <w:sz w:val="28"/>
          <w:szCs w:val="28"/>
        </w:rPr>
        <w:t xml:space="preserve">5.1 Scorecard multidimensional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160"/>
        <w:gridCol w:w="2020"/>
        <w:gridCol w:w="160"/>
        <w:gridCol w:w="2020"/>
        <w:gridCol w:w="160"/>
        <w:gridCol w:w="2020"/>
        <w:gridCol w:w="320"/>
      </w:tblGrid>
      <w:tr>
        <w:trPr>
          <w:tblHeader/>
        </w:trPr>
        <w:tc>
          <w:tcPr>
            <w:tcW w:type="dxa" w:w="27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Criterio (peso)</w:t>
            </w:r>
          </w:p>
        </w:tc>
        <w:tc>
          <w:tcPr>
            <w:tcW w:type="dxa" w:w="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0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Propiedad Horizontal</w:t>
            </w:r>
          </w:p>
        </w:tc>
        <w:tc>
          <w:tcPr>
            <w:tcW w:type="dxa" w:w="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Pts</w:t>
            </w:r>
          </w:p>
        </w:tc>
        <w:tc>
          <w:tcPr>
            <w:tcW w:type="dxa" w:w="20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Propuestas Comerciales</w:t>
            </w:r>
          </w:p>
        </w:tc>
        <w:tc>
          <w:tcPr>
            <w:tcW w:type="dxa" w:w="16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Pts</w:t>
            </w:r>
          </w:p>
        </w:tc>
        <w:tc>
          <w:tcPr>
            <w:tcW w:type="dxa" w:w="20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Contratos Legales</w:t>
            </w:r>
          </w:p>
        </w:tc>
        <w:tc>
          <w:tcPr>
            <w:tcW w:type="dxa" w:w="32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Pts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Tamaño de mercado LATAM</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15%</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Alto — 180K+ copropiedades</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Muy alto — 12M+ freelancers</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9/10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Global — $902B legal</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8/10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Competencia actual LATAM</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20%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Media — jugadores sin IA</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Baja — sin producto real</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Alta — Webdox + OpenAI</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5/10</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Velocidad de lanzamiento MVP</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20%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8–12 semanas</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3–5 semanas</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10/10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6–10 semanas</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Potencial MRR año 1</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15%</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$29K base</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$37K base</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$35K base</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Churn esperado (inverso)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Bajo (operativo diario)</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9/10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Medio (uso esporádico)</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Medio-bajo</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Barrera técnica (inversa)</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Media</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Baja</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9/10</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Alta</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5/10</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Riesgo de disrupción big tech</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2C3E50"/>
                <w:sz w:val="20"/>
                <w:szCs w:val="20"/>
              </w:rPr>
              <w:t xml:space="preserve">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Bajo</w:t>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Medio</w:t>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7/10</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Alto (OpenAI)</w:t>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4/10</w:t>
            </w:r>
          </w:p>
        </w:tc>
      </w:tr>
      <w:tr>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PUNTAJE TOTAL PONDERADO</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center"/>
            </w:pPr>
            <w:r>
              <w:rPr>
                <w:rFonts w:ascii="Arial" w:cs="Arial" w:eastAsia="Arial" w:hAnsi="Arial"/>
                <w:b w:val="false"/>
                <w:bCs w:val="false"/>
                <w:color w:val="FFFFFF"/>
                <w:sz w:val="20"/>
                <w:szCs w:val="20"/>
              </w:rPr>
              <w:t xml:space="preserve">100%</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1E579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7.7</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8.4</w:t>
            </w:r>
          </w:p>
        </w:tc>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
            </w:r>
          </w:p>
        </w:tc>
        <w:tc>
          <w:tcPr>
            <w:tcW w:type="dxa" w:w="2340"/>
            <w:tcBorders>
              <w:top w:val="single" w:color="BDC3C7" w:sz="1"/>
              <w:left w:val="single" w:color="BDC3C7" w:sz="1"/>
              <w:bottom w:val="single" w:color="BDC3C7" w:sz="1"/>
              <w:right w:val="single" w:color="BDC3C7" w:sz="1"/>
            </w:tcBorders>
            <w:shd w:fill="D354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6.0</w:t>
            </w:r>
          </w:p>
        </w:tc>
      </w:tr>
    </w:tbl>
    <w:p>
      <w:pPr>
        <w:spacing w:before="160" w:after="0"/>
      </w:pPr>
      <w:r>
        <w:t xml:space="preserve"/>
      </w:r>
    </w:p>
    <w:p>
      <w:pPr>
        <w:pStyle w:val="Heading2"/>
        <w:spacing w:before="300" w:after="120"/>
      </w:pPr>
      <w:r>
        <w:rPr>
          <w:rFonts w:ascii="Arial" w:cs="Arial" w:eastAsia="Arial" w:hAnsi="Arial"/>
          <w:b/>
          <w:bCs/>
          <w:color w:val="0F3460"/>
          <w:sz w:val="28"/>
          <w:szCs w:val="28"/>
        </w:rPr>
        <w:t xml:space="preserve">5.2 Veredicto Final</w:t>
      </w:r>
    </w:p>
    <w:p>
      <w:pPr>
        <w:spacing w:before="60" w:after="0"/>
      </w:pPr>
      <w:r>
        <w:t xml:space="preserve"/>
      </w:r>
    </w:p>
    <w:p>
      <w:pPr>
        <w:spacing w:before="200" w:after="80"/>
      </w:pPr>
      <w:r>
        <w:rPr>
          <w:rFonts w:ascii="Arial" w:cs="Arial" w:eastAsia="Arial" w:hAnsi="Arial"/>
          <w:b/>
          <w:bCs/>
          <w:color w:val="1E8449"/>
          <w:sz w:val="24"/>
          <w:szCs w:val="24"/>
        </w:rPr>
        <w:t xml:space="preserve">🚀 #1 — Propuestas Comerciales: LANZAR EN 4 SEMANAS</w:t>
      </w:r>
    </w:p>
    <w:p>
      <w:pPr>
        <w:spacing w:before="80" w:after="80"/>
      </w:pPr>
      <w:r>
        <w:rPr>
          <w:rFonts w:ascii="Arial" w:cs="Arial" w:eastAsia="Arial" w:hAnsi="Arial"/>
          <w:b w:val="false"/>
          <w:bCs w:val="false"/>
          <w:i w:val="false"/>
          <w:iCs w:val="false"/>
          <w:color w:val="2C3E50"/>
          <w:sz w:val="22"/>
          <w:szCs w:val="22"/>
        </w:rPr>
        <w:t xml:space="preserve">Puntuación: 8.4/10 — Mayor velocidad, menor barrera técnica, tú eres el cliente, CAC cercano a cero en las primeras etapas.</w:t>
      </w:r>
    </w:p>
    <w:p>
      <w:pPr>
        <w:spacing w:before="80" w:after="80"/>
      </w:pPr>
      <w:r>
        <w:rPr>
          <w:rFonts w:ascii="Arial" w:cs="Arial" w:eastAsia="Arial" w:hAnsi="Arial"/>
          <w:b w:val="false"/>
          <w:bCs w:val="false"/>
          <w:i w:val="false"/>
          <w:iCs w:val="false"/>
          <w:color w:val="2C3E50"/>
          <w:sz w:val="22"/>
          <w:szCs w:val="22"/>
        </w:rPr>
        <w:t xml:space="preserve">Ideal como primer producto por tres razones estratégicas: (1) te valida como fundador técnico capaz de lanzar, (2) genera flujo de caja en semanas no meses, (3) crea una audiencia de freelancers y agencias a quienes puedes vender el siguiente producto.</w:t>
      </w:r>
    </w:p>
    <w:p>
      <w:pPr>
        <w:spacing w:before="80" w:after="80"/>
      </w:pPr>
      <w:r>
        <w:rPr>
          <w:rFonts w:ascii="Arial" w:cs="Arial" w:eastAsia="Arial" w:hAnsi="Arial"/>
          <w:b w:val="false"/>
          <w:bCs w:val="false"/>
          <w:i w:val="false"/>
          <w:iCs w:val="false"/>
          <w:color w:val="2C3E50"/>
          <w:sz w:val="22"/>
          <w:szCs w:val="22"/>
        </w:rPr>
        <w:t xml:space="preserve">Riesgo principal: ticket bajo, requiere volumen para ser rentable. La estrategia de escalado es clave desde el día 1 — apuntar a agencias (que pagan más) además de freelancers individuales.</w:t>
      </w:r>
    </w:p>
    <w:p>
      <w:pPr>
        <w:spacing w:before="80" w:after="0"/>
      </w:pPr>
      <w:r>
        <w:t xml:space="preserve"/>
      </w:r>
    </w:p>
    <w:p>
      <w:pPr>
        <w:spacing w:before="200" w:after="80"/>
      </w:pPr>
      <w:r>
        <w:rPr>
          <w:rFonts w:ascii="Arial" w:cs="Arial" w:eastAsia="Arial" w:hAnsi="Arial"/>
          <w:b/>
          <w:bCs/>
          <w:color w:val="0F3460"/>
          <w:sz w:val="24"/>
          <w:szCs w:val="24"/>
        </w:rPr>
        <w:t xml:space="preserve">🏆 #2 — Propiedad Horizontal: CONSTRUIR EN PARALELO / MES 3</w:t>
      </w:r>
    </w:p>
    <w:p>
      <w:pPr>
        <w:spacing w:before="80" w:after="80"/>
      </w:pPr>
      <w:r>
        <w:rPr>
          <w:rFonts w:ascii="Arial" w:cs="Arial" w:eastAsia="Arial" w:hAnsi="Arial"/>
          <w:b w:val="false"/>
          <w:bCs w:val="false"/>
          <w:i w:val="false"/>
          <w:iCs w:val="false"/>
          <w:color w:val="2C3E50"/>
          <w:sz w:val="22"/>
          <w:szCs w:val="22"/>
        </w:rPr>
        <w:t xml:space="preserve">Puntuación: 7.7/10 — Mejor potencial de LTV, menor churn, mayor ticket, catalizador regulatorio (Decreto 768/2025) creando demanda urgente.</w:t>
      </w:r>
    </w:p>
    <w:p>
      <w:pPr>
        <w:spacing w:before="80" w:after="80"/>
      </w:pPr>
      <w:r>
        <w:rPr>
          <w:rFonts w:ascii="Arial" w:cs="Arial" w:eastAsia="Arial" w:hAnsi="Arial"/>
          <w:b w:val="false"/>
          <w:bCs w:val="false"/>
          <w:i w:val="false"/>
          <w:iCs w:val="false"/>
          <w:color w:val="2C3E50"/>
          <w:sz w:val="22"/>
          <w:szCs w:val="22"/>
        </w:rPr>
        <w:t xml:space="preserve">La recomendación es empezar a construir el MVP de propiedad horizontal en el mes 2 o 3 mientras el producto de propuestas ya genera ingresos. Es una operación más compleja y el ciclo de ventas es más largo, pero una vez que un administrador adopta la herramienta, no se va. El churn de productos de gestión operativa diaria es históricamente del 3–5% mensual, vs. 8–15% para herramientas de productividad esporádica.</w:t>
      </w:r>
    </w:p>
    <w:p>
      <w:pPr>
        <w:spacing w:before="80" w:after="80"/>
      </w:pPr>
      <w:r>
        <w:rPr>
          <w:rFonts w:ascii="Arial" w:cs="Arial" w:eastAsia="Arial" w:hAnsi="Arial"/>
          <w:b w:val="false"/>
          <w:bCs w:val="false"/>
          <w:i w:val="false"/>
          <w:iCs w:val="false"/>
          <w:color w:val="2C3E50"/>
          <w:sz w:val="22"/>
          <w:szCs w:val="22"/>
        </w:rPr>
        <w:t xml:space="preserve">Riesgo principal: la complejidad de la lógica de negocio y el ciclo de ventas B2B. El administrador promedio tarda 2–3 semanas en decidir adoptar una herramienta nueva.</w:t>
      </w:r>
    </w:p>
    <w:p>
      <w:pPr>
        <w:spacing w:before="80" w:after="0"/>
      </w:pPr>
      <w:r>
        <w:t xml:space="preserve"/>
      </w:r>
    </w:p>
    <w:p>
      <w:pPr>
        <w:spacing w:before="200" w:after="80"/>
      </w:pPr>
      <w:r>
        <w:rPr>
          <w:rFonts w:ascii="Arial" w:cs="Arial" w:eastAsia="Arial" w:hAnsi="Arial"/>
          <w:b/>
          <w:bCs/>
          <w:color w:val="C0392B"/>
          <w:sz w:val="24"/>
          <w:szCs w:val="24"/>
        </w:rPr>
        <w:t xml:space="preserve">⚠️ #3 — Contratos Legales: POSPONER 12–18 MESES</w:t>
      </w:r>
    </w:p>
    <w:p>
      <w:pPr>
        <w:spacing w:before="80" w:after="80"/>
      </w:pPr>
      <w:r>
        <w:rPr>
          <w:rFonts w:ascii="Arial" w:cs="Arial" w:eastAsia="Arial" w:hAnsi="Arial"/>
          <w:b w:val="false"/>
          <w:bCs w:val="false"/>
          <w:i w:val="false"/>
          <w:iCs w:val="false"/>
          <w:color w:val="2C3E50"/>
          <w:sz w:val="22"/>
          <w:szCs w:val="22"/>
        </w:rPr>
        <w:t xml:space="preserve">Puntuación: 6.0/10 — OpenAI entrando directo al mercado enterprise con Contract Data Agent es una señal de que la ventana de oportunidad para el nicho PYMEs sigue abierta, pero la presión competitiva global es real y creciente.</w:t>
      </w:r>
    </w:p>
    <w:p>
      <w:pPr>
        <w:spacing w:before="80" w:after="80"/>
      </w:pPr>
      <w:r>
        <w:rPr>
          <w:rFonts w:ascii="Arial" w:cs="Arial" w:eastAsia="Arial" w:hAnsi="Arial"/>
          <w:b w:val="false"/>
          <w:bCs w:val="false"/>
          <w:i w:val="false"/>
          <w:iCs w:val="false"/>
          <w:color w:val="2C3E50"/>
          <w:sz w:val="22"/>
          <w:szCs w:val="22"/>
        </w:rPr>
        <w:t xml:space="preserve">La recomendación NO es descartar la idea. Es construirla cuando tengas tracción demostrada con alguno de los otros dos productos. Con 1,000+ usuarios activos en tu plataforma de propuestas, puedes añadir revisión de contratos como feature o producto complementario con cero CAC adicional — los mismos freelancers y agencias que hacen propuestas también firman contratos.</w:t>
      </w:r>
    </w:p>
    <w:p>
      <w:pPr>
        <w:pBdr>
          <w:bottom w:val="single" w:color="BDC3C7" w:sz="4"/>
        </w:pBdr>
        <w:spacing w:before="200" w:after="200"/>
      </w:pPr>
      <w:r>
        <w:t xml:space="preserve"/>
      </w:r>
    </w:p>
    <w:p>
      <w:pPr>
        <w:pStyle w:val="Heading1"/>
        <w:spacing w:before="360" w:after="160"/>
      </w:pPr>
      <w:r>
        <w:rPr>
          <w:rFonts w:ascii="Arial" w:cs="Arial" w:eastAsia="Arial" w:hAnsi="Arial"/>
          <w:b/>
          <w:bCs/>
          <w:color w:val="1A1A2E"/>
          <w:sz w:val="36"/>
          <w:szCs w:val="36"/>
        </w:rPr>
        <w:t xml:space="preserve">6. Hoja de Ruta Recomendada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040"/>
        <w:gridCol w:w="3240"/>
        <w:gridCol w:w="3000"/>
      </w:tblGrid>
      <w:tr>
        <w:trPr>
          <w:tblHeader/>
        </w:trPr>
        <w:tc>
          <w:tcPr>
            <w:tcW w:type="dxa" w:w="14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Fase</w:t>
            </w:r>
          </w:p>
        </w:tc>
        <w:tc>
          <w:tcPr>
            <w:tcW w:type="dxa" w:w="20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W w:type="dxa" w:w="32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Acción</w:t>
            </w:r>
          </w:p>
        </w:tc>
        <w:tc>
          <w:tcPr>
            <w:tcW w:type="dxa" w:w="300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Objetivo</w:t>
            </w:r>
          </w:p>
        </w:tc>
      </w:tr>
      <w:tr>
        <w:tc>
          <w:tcPr>
            <w:tcW w:type="dxa" w:w="234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Semanas 1–5</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MVP Propuestas Comerciales</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100 usuarios, 20 pagos, $380 MRR</w:t>
            </w:r>
          </w:p>
        </w:tc>
      </w:tr>
      <w:tr>
        <w:tc>
          <w:tcPr>
            <w:tcW w:type="dxa" w:w="2340"/>
            <w:tcBorders>
              <w:top w:val="single" w:color="BDC3C7" w:sz="1"/>
              <w:left w:val="single" w:color="BDC3C7" w:sz="1"/>
              <w:bottom w:val="single" w:color="BDC3C7" w:sz="1"/>
              <w:right w:val="single" w:color="BDC3C7"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Mes 2–3</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Iterar propuestas + validar propiedad horizontal (10 entrevistas con administradores)</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500 usuarios propuestas, validación mercado PH</w:t>
            </w:r>
          </w:p>
        </w:tc>
      </w:tr>
      <w:tr>
        <w:tc>
          <w:tcPr>
            <w:tcW w:type="dxa" w:w="2340"/>
            <w:tcBorders>
              <w:top w:val="single" w:color="BDC3C7" w:sz="1"/>
              <w:left w:val="single" w:color="BDC3C7" w:sz="1"/>
              <w:bottom w:val="single" w:color="BDC3C7" w:sz="1"/>
              <w:right w:val="single" w:color="BDC3C7"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Mes 3–6</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MVP Propiedad Horizontal (Colombia primero)</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50 copropiedades beta, $2,450 MRR</w:t>
            </w:r>
          </w:p>
        </w:tc>
      </w:tr>
      <w:tr>
        <w:tc>
          <w:tcPr>
            <w:tcW w:type="dxa" w:w="2340"/>
            <w:tcBorders>
              <w:top w:val="single" w:color="BDC3C7" w:sz="1"/>
              <w:left w:val="single" w:color="BDC3C7" w:sz="1"/>
              <w:bottom w:val="single" w:color="BDC3C7" w:sz="1"/>
              <w:right w:val="single" w:color="BDC3C7" w:sz="1"/>
            </w:tcBorders>
            <w:shd w:fill="0F34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Mes 6–12</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Escalar ambos productos + expansión México</w:t>
            </w:r>
          </w:p>
        </w:tc>
        <w:tc>
          <w:tcPr>
            <w:tcW w:type="dxa" w:w="2340"/>
            <w:tcBorders>
              <w:top w:val="single" w:color="BDC3C7" w:sz="1"/>
              <w:left w:val="single" w:color="BDC3C7" w:sz="1"/>
              <w:bottom w:val="single" w:color="BDC3C7" w:sz="1"/>
              <w:right w:val="single" w:color="BDC3C7" w:sz="1"/>
            </w:tcBorders>
            <w:shd w:fill="F2F9FF" w:val="clear"/>
            <w:tcMar>
              <w:top w:type="dxa" w:w="100"/>
              <w:left w:type="dxa" w:w="140"/>
              <w:bottom w:type="dxa" w:w="100"/>
              <w:right w:type="dxa" w:w="140"/>
            </w:tcMar>
            <w:vAlign w:val="center"/>
          </w:tcPr>
          <w:p>
            <w:pPr>
              <w:jc w:val="left"/>
            </w:pPr>
            <w:r>
              <w:rPr>
                <w:rFonts w:ascii="Arial" w:cs="Arial" w:eastAsia="Arial" w:hAnsi="Arial"/>
                <w:b w:val="false"/>
                <w:bCs w:val="false"/>
                <w:color w:val="FFFFFF"/>
                <w:sz w:val="20"/>
                <w:szCs w:val="20"/>
              </w:rPr>
              <w:t xml:space="preserve">$50K+ MRR combinado</w:t>
            </w:r>
          </w:p>
        </w:tc>
      </w:tr>
      <w:tr>
        <w:tc>
          <w:tcPr>
            <w:tcW w:type="dxa" w:w="234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5</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Mes 12–18</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Añadir revisión de contratos como feature en propuestas (mismo ICP)</w:t>
            </w:r>
          </w:p>
        </w:tc>
        <w:tc>
          <w:tcPr>
            <w:tcW w:type="dxa" w:w="234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C3E50"/>
                <w:sz w:val="20"/>
                <w:szCs w:val="20"/>
              </w:rPr>
              <w:t xml:space="preserve">Upsell en base existente — CAC = $0</w:t>
            </w:r>
          </w:p>
        </w:tc>
      </w:tr>
    </w:tbl>
    <w:p>
      <w:pPr>
        <w:pBdr>
          <w:bottom w:val="single" w:color="BDC3C7" w:sz="4"/>
        </w:pBdr>
        <w:spacing w:before="200" w:after="200"/>
      </w:pPr>
      <w:r>
        <w:t xml:space="preserve"/>
      </w:r>
    </w:p>
    <w:p>
      <w:pPr>
        <w:spacing w:before="200" w:after="80"/>
        <w:jc w:val="center"/>
      </w:pPr>
      <w:r>
        <w:rPr>
          <w:rFonts w:ascii="Arial" w:cs="Arial" w:eastAsia="Arial" w:hAnsi="Arial"/>
          <w:b/>
          <w:bCs/>
          <w:i/>
          <w:iCs/>
          <w:color w:val="0F3460"/>
          <w:sz w:val="26"/>
          <w:szCs w:val="26"/>
        </w:rPr>
        <w:t xml:space="preserve">La oportunidad no está en elegir una idea. Está en la secuencia.</w:t>
      </w:r>
    </w:p>
    <w:p>
      <w:pPr>
        <w:spacing w:before="0" w:after="200"/>
        <w:jc w:val="center"/>
      </w:pPr>
      <w:r>
        <w:rPr>
          <w:rFonts w:ascii="Arial" w:cs="Arial" w:eastAsia="Arial" w:hAnsi="Arial"/>
          <w:i/>
          <w:iCs/>
          <w:color w:val="7F8C8D"/>
          <w:sz w:val="22"/>
          <w:szCs w:val="22"/>
        </w:rPr>
        <w:t xml:space="preserve">Propuestas comerciales te da ingresos. Propiedad horizontal te da LTV. Contratos legales te da el upsell.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2026-03-08T06:44:46.830Z</dcterms:created>
  <dcterms:modified xsi:type="dcterms:W3CDTF">2026-03-08T06:44:46.830Z</dcterms:modified>
</cp:coreProperties>
</file>

<file path=docProps/custom.xml><?xml version="1.0" encoding="utf-8"?>
<Properties xmlns="http://schemas.openxmlformats.org/officeDocument/2006/custom-properties" xmlns:vt="http://schemas.openxmlformats.org/officeDocument/2006/docPropsVTypes"/>
</file>