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/>
      </w:pPr>
      <w:r>
        <w:rPr>
          <w:rFonts w:eastAsia="Times New Roman"/>
          <w:spacing w:val="24"/>
          <w:sz w:val="24"/>
        </w:rPr>
        <w:t xml:space="preserve">                       </w:t>
      </w:r>
      <w:r>
        <w:rPr>
          <w:spacing w:val="24"/>
          <w:sz w:val="24"/>
        </w:rPr>
        <w:t>采购卡片编号：</w:t>
      </w:r>
      <w:r>
        <w:rPr>
          <w:rFonts w:eastAsia="Times New Roman"/>
          <w:spacing w:val="24"/>
          <w:sz w:val="24"/>
          <w:u w:val="single"/>
        </w:rPr>
        <w:t xml:space="preserve">        </w:t>
      </w:r>
    </w:p>
    <w:p>
      <w:pPr>
        <w:pStyle w:val="Normal"/>
        <w:spacing w:lineRule="auto" w:line="360"/>
        <w:jc w:val="center"/>
        <w:rPr>
          <w:spacing w:val="24"/>
          <w:sz w:val="24"/>
          <w:u w:val="single"/>
        </w:rPr>
      </w:pPr>
      <w:r>
        <w:rPr>
          <w:spacing w:val="24"/>
          <w:sz w:val="24"/>
          <w:u w:val="single"/>
        </w:rPr>
      </w:r>
    </w:p>
    <w:p>
      <w:pPr>
        <w:pStyle w:val="Normal"/>
        <w:spacing w:lineRule="auto" w:line="360"/>
        <w:jc w:val="center"/>
        <w:rPr>
          <w:spacing w:val="24"/>
          <w:sz w:val="24"/>
        </w:rPr>
      </w:pPr>
      <w:r>
        <w:rPr>
          <w:spacing w:val="24"/>
          <w:sz w:val="24"/>
        </w:rPr>
      </w:r>
    </w:p>
    <w:p>
      <w:pPr>
        <w:pStyle w:val="Normal"/>
        <w:spacing w:lineRule="auto" w:line="360"/>
        <w:jc w:val="center"/>
        <w:rPr>
          <w:spacing w:val="24"/>
          <w:sz w:val="44"/>
        </w:rPr>
      </w:pPr>
      <w:r>
        <w:rPr>
          <w:rFonts w:eastAsia="Times New Roman"/>
          <w:spacing w:val="24"/>
          <w:sz w:val="44"/>
        </w:rPr>
        <w:t xml:space="preserve">   </w:t>
      </w:r>
      <w:r>
        <w:rPr>
          <w:spacing w:val="24"/>
          <w:sz w:val="44"/>
        </w:rPr>
        <w:t>购置贵重仪器设备</w:t>
      </w:r>
    </w:p>
    <w:p>
      <w:pPr>
        <w:pStyle w:val="Normal"/>
        <w:spacing w:lineRule="auto" w:line="360"/>
        <w:jc w:val="center"/>
        <w:rPr>
          <w:spacing w:val="24"/>
          <w:sz w:val="44"/>
        </w:rPr>
      </w:pPr>
      <w:r>
        <w:rPr>
          <w:spacing w:val="24"/>
          <w:sz w:val="44"/>
        </w:rPr>
        <w:t>可行性论证报告</w:t>
      </w:r>
    </w:p>
    <w:p>
      <w:pPr>
        <w:pStyle w:val="Normal"/>
        <w:spacing w:lineRule="auto" w:line="360"/>
        <w:rPr>
          <w:spacing w:val="24"/>
          <w:sz w:val="44"/>
        </w:rPr>
      </w:pPr>
      <w:r>
        <w:rPr>
          <w:spacing w:val="24"/>
          <w:sz w:val="44"/>
        </w:rPr>
      </w:r>
    </w:p>
    <w:p>
      <w:pPr>
        <w:pStyle w:val="Normal"/>
        <w:spacing w:lineRule="auto" w:line="360"/>
        <w:rPr>
          <w:spacing w:val="24"/>
          <w:sz w:val="28"/>
        </w:rPr>
      </w:pPr>
      <w:r>
        <w:rPr>
          <w:spacing w:val="24"/>
          <w:sz w:val="28"/>
        </w:rPr>
      </w:r>
    </w:p>
    <w:p>
      <w:pPr>
        <w:pStyle w:val="Normal"/>
        <w:spacing w:lineRule="auto" w:line="360"/>
        <w:rPr>
          <w:spacing w:val="24"/>
          <w:sz w:val="28"/>
        </w:rPr>
      </w:pPr>
      <w:r>
        <w:rPr>
          <w:spacing w:val="24"/>
          <w:sz w:val="28"/>
        </w:rPr>
      </w:r>
    </w:p>
    <w:p>
      <w:pPr>
        <w:pStyle w:val="Normal"/>
        <w:spacing w:lineRule="auto" w:line="360"/>
        <w:rPr>
          <w:spacing w:val="24"/>
          <w:sz w:val="28"/>
        </w:rPr>
      </w:pPr>
      <w:r>
        <w:rPr>
          <w:spacing w:val="24"/>
          <w:sz w:val="28"/>
        </w:rPr>
      </w:r>
    </w:p>
    <w:p>
      <w:pPr>
        <w:pStyle w:val="Normal"/>
        <w:spacing w:lineRule="auto" w:line="360"/>
        <w:rPr>
          <w:spacing w:val="24"/>
          <w:sz w:val="28"/>
        </w:rPr>
      </w:pPr>
      <w:r>
        <w:rPr>
          <w:spacing w:val="24"/>
          <w:sz w:val="28"/>
        </w:rPr>
      </w:r>
    </w:p>
    <w:p>
      <w:pPr>
        <w:pStyle w:val="Normal"/>
        <w:spacing w:lineRule="auto" w:line="360"/>
        <w:ind w:firstLine="420" w:start="840" w:end="0"/>
        <w:rPr>
          <w:spacing w:val="24"/>
          <w:sz w:val="28"/>
          <w:u w:val="single"/>
        </w:rPr>
      </w:pPr>
      <w:r>
        <w:rPr>
          <w:spacing w:val="24"/>
          <w:w w:val="103"/>
          <w:kern w:val="2"/>
          <w:sz w:val="28"/>
        </w:rPr>
        <w:t>仪</w:t>
      </w:r>
      <w:r>
        <w:rPr>
          <w:rFonts w:eastAsia="Times New Roman"/>
          <w:spacing w:val="24"/>
          <w:w w:val="103"/>
          <w:kern w:val="2"/>
          <w:sz w:val="28"/>
        </w:rPr>
        <w:t xml:space="preserve">  </w:t>
      </w:r>
      <w:r>
        <w:rPr>
          <w:spacing w:val="24"/>
          <w:w w:val="103"/>
          <w:kern w:val="2"/>
          <w:sz w:val="28"/>
        </w:rPr>
        <w:t>器</w:t>
      </w:r>
      <w:r>
        <w:rPr>
          <w:rFonts w:eastAsia="Times New Roman"/>
          <w:spacing w:val="24"/>
          <w:w w:val="103"/>
          <w:kern w:val="2"/>
          <w:sz w:val="28"/>
        </w:rPr>
        <w:t xml:space="preserve">  </w:t>
      </w:r>
      <w:r>
        <w:rPr>
          <w:spacing w:val="24"/>
          <w:w w:val="103"/>
          <w:kern w:val="2"/>
          <w:sz w:val="28"/>
        </w:rPr>
        <w:t>名</w:t>
      </w:r>
      <w:r>
        <w:rPr>
          <w:rFonts w:eastAsia="Times New Roman"/>
          <w:spacing w:val="24"/>
          <w:w w:val="103"/>
          <w:kern w:val="2"/>
          <w:sz w:val="28"/>
        </w:rPr>
        <w:t xml:space="preserve">  </w:t>
      </w:r>
      <w:r>
        <w:rPr>
          <w:spacing w:val="24"/>
          <w:w w:val="103"/>
          <w:kern w:val="2"/>
          <w:sz w:val="28"/>
        </w:rPr>
        <w:t>称</w:t>
      </w:r>
      <w:r>
        <w:rPr>
          <w:spacing w:val="24"/>
          <w:sz w:val="28"/>
        </w:rPr>
        <w:t>：</w:t>
      </w:r>
      <w:r>
        <w:rPr>
          <w:rFonts w:eastAsia="Times New Roman"/>
          <w:spacing w:val="24"/>
          <w:sz w:val="28"/>
          <w:u w:val="single"/>
        </w:rPr>
        <w:t xml:space="preserve">   </w:t>
      </w:r>
      <w:r>
        <w:rPr>
          <w:spacing w:val="24"/>
          <w:sz w:val="28"/>
          <w:u w:val="single"/>
        </w:rPr>
        <w:t>四探针电阻率测试仪</w:t>
      </w:r>
      <w:r>
        <w:rPr>
          <w:rFonts w:eastAsia="Times New Roman"/>
          <w:spacing w:val="24"/>
          <w:sz w:val="28"/>
          <w:u w:val="single"/>
        </w:rPr>
        <w:t xml:space="preserve">     </w:t>
      </w:r>
    </w:p>
    <w:p>
      <w:pPr>
        <w:pStyle w:val="Normal"/>
        <w:spacing w:lineRule="auto" w:line="360"/>
        <w:ind w:firstLine="420" w:start="840" w:end="0"/>
        <w:rPr>
          <w:spacing w:val="24"/>
          <w:sz w:val="28"/>
        </w:rPr>
      </w:pPr>
      <w:r>
        <w:rPr>
          <w:spacing w:val="24"/>
          <w:sz w:val="28"/>
        </w:rPr>
        <w:t>单位名称（盖章）：</w:t>
      </w:r>
      <w:r>
        <w:rPr>
          <w:rFonts w:eastAsia="Times New Roman"/>
          <w:spacing w:val="24"/>
          <w:sz w:val="28"/>
          <w:u w:val="single"/>
        </w:rPr>
        <w:t xml:space="preserve">           </w:t>
      </w:r>
    </w:p>
    <w:p>
      <w:pPr>
        <w:pStyle w:val="Normal"/>
        <w:spacing w:lineRule="auto" w:line="360"/>
        <w:ind w:firstLine="420" w:start="840" w:end="0"/>
        <w:rPr>
          <w:spacing w:val="24"/>
          <w:sz w:val="28"/>
        </w:rPr>
      </w:pPr>
      <w:r>
        <w:rPr>
          <w:spacing w:val="24"/>
          <w:w w:val="105"/>
          <w:sz w:val="28"/>
        </w:rPr>
        <w:t>项</w:t>
      </w:r>
      <w:r>
        <w:rPr>
          <w:rFonts w:eastAsia="Times New Roman"/>
          <w:spacing w:val="24"/>
          <w:w w:val="105"/>
          <w:sz w:val="28"/>
        </w:rPr>
        <w:t xml:space="preserve"> </w:t>
      </w:r>
      <w:r>
        <w:rPr>
          <w:spacing w:val="24"/>
          <w:w w:val="105"/>
          <w:sz w:val="28"/>
        </w:rPr>
        <w:t>目</w:t>
      </w:r>
      <w:r>
        <w:rPr>
          <w:rFonts w:eastAsia="Times New Roman"/>
          <w:spacing w:val="24"/>
          <w:w w:val="105"/>
          <w:sz w:val="28"/>
        </w:rPr>
        <w:t xml:space="preserve"> </w:t>
      </w:r>
      <w:r>
        <w:rPr>
          <w:spacing w:val="24"/>
          <w:w w:val="105"/>
          <w:sz w:val="28"/>
        </w:rPr>
        <w:t>负</w:t>
      </w:r>
      <w:r>
        <w:rPr>
          <w:rFonts w:eastAsia="Times New Roman"/>
          <w:spacing w:val="24"/>
          <w:w w:val="105"/>
          <w:sz w:val="28"/>
        </w:rPr>
        <w:t xml:space="preserve"> </w:t>
      </w:r>
      <w:r>
        <w:rPr>
          <w:spacing w:val="24"/>
          <w:w w:val="105"/>
          <w:sz w:val="28"/>
        </w:rPr>
        <w:t>责</w:t>
      </w:r>
      <w:r>
        <w:rPr>
          <w:rFonts w:eastAsia="Times New Roman"/>
          <w:spacing w:val="24"/>
          <w:w w:val="105"/>
          <w:sz w:val="28"/>
        </w:rPr>
        <w:t xml:space="preserve"> </w:t>
      </w:r>
      <w:r>
        <w:rPr>
          <w:spacing w:val="24"/>
          <w:w w:val="105"/>
          <w:sz w:val="28"/>
        </w:rPr>
        <w:t>人</w:t>
      </w:r>
      <w:r>
        <w:rPr>
          <w:spacing w:val="24"/>
          <w:sz w:val="28"/>
        </w:rPr>
        <w:t>：</w:t>
      </w:r>
      <w:r>
        <w:rPr>
          <w:rFonts w:eastAsia="Times New Roman"/>
          <w:spacing w:val="24"/>
          <w:sz w:val="28"/>
          <w:u w:val="single"/>
        </w:rPr>
        <w:t xml:space="preserve">                    </w:t>
      </w:r>
    </w:p>
    <w:p>
      <w:pPr>
        <w:pStyle w:val="Normal"/>
        <w:spacing w:lineRule="auto" w:line="360"/>
        <w:ind w:firstLine="420" w:start="840" w:end="0"/>
        <w:rPr>
          <w:spacing w:val="24"/>
          <w:sz w:val="28"/>
        </w:rPr>
      </w:pPr>
      <w:r>
        <w:rPr>
          <w:spacing w:val="24"/>
          <w:w w:val="98"/>
          <w:sz w:val="28"/>
        </w:rPr>
        <w:t>电</w:t>
      </w:r>
      <w:r>
        <w:rPr>
          <w:rFonts w:eastAsia="Times New Roman"/>
          <w:spacing w:val="24"/>
          <w:w w:val="98"/>
          <w:sz w:val="28"/>
        </w:rPr>
        <w:t xml:space="preserve">          </w:t>
      </w:r>
      <w:r>
        <w:rPr>
          <w:spacing w:val="24"/>
          <w:w w:val="98"/>
          <w:sz w:val="28"/>
        </w:rPr>
        <w:t>话</w:t>
      </w:r>
      <w:r>
        <w:rPr>
          <w:spacing w:val="24"/>
          <w:sz w:val="28"/>
        </w:rPr>
        <w:t>：</w:t>
      </w:r>
      <w:r>
        <w:rPr>
          <w:rFonts w:eastAsia="Times New Roman"/>
          <w:spacing w:val="24"/>
          <w:sz w:val="28"/>
          <w:u w:val="single"/>
        </w:rPr>
        <w:t xml:space="preserve">       </w:t>
      </w:r>
    </w:p>
    <w:p>
      <w:pPr>
        <w:pStyle w:val="Normal"/>
        <w:spacing w:lineRule="auto" w:line="360"/>
        <w:ind w:firstLine="420" w:start="840" w:end="0"/>
        <w:rPr>
          <w:spacing w:val="24"/>
          <w:sz w:val="28"/>
          <w:u w:val="single"/>
        </w:rPr>
      </w:pPr>
      <w:r>
        <w:rPr>
          <w:spacing w:val="24"/>
          <w:sz w:val="28"/>
        </w:rPr>
        <w:t>实</w:t>
      </w:r>
      <w:r>
        <w:rPr>
          <w:rFonts w:eastAsia="Times New Roman"/>
          <w:spacing w:val="24"/>
          <w:sz w:val="28"/>
        </w:rPr>
        <w:t xml:space="preserve">    </w:t>
      </w:r>
      <w:r>
        <w:rPr>
          <w:spacing w:val="24"/>
          <w:sz w:val="28"/>
        </w:rPr>
        <w:t>验</w:t>
      </w:r>
      <w:r>
        <w:rPr>
          <w:rFonts w:eastAsia="Times New Roman"/>
          <w:spacing w:val="24"/>
          <w:sz w:val="28"/>
        </w:rPr>
        <w:t xml:space="preserve">    </w:t>
      </w:r>
      <w:r>
        <w:rPr>
          <w:spacing w:val="24"/>
          <w:sz w:val="28"/>
        </w:rPr>
        <w:t>室：</w:t>
      </w:r>
      <w:r>
        <w:rPr>
          <w:rFonts w:eastAsia="Times New Roman"/>
          <w:spacing w:val="24"/>
          <w:sz w:val="28"/>
          <w:u w:val="single"/>
        </w:rPr>
        <w:t xml:space="preserve">   </w:t>
      </w:r>
      <w:r>
        <w:rPr>
          <w:spacing w:val="24"/>
          <w:sz w:val="28"/>
          <w:u w:val="single"/>
        </w:rPr>
        <w:t>能源材料大楼1号楼</w:t>
      </w:r>
      <w:r>
        <w:rPr>
          <w:rFonts w:eastAsia="Times New Roman"/>
          <w:spacing w:val="24"/>
          <w:sz w:val="28"/>
          <w:u w:val="single"/>
        </w:rPr>
        <w:t xml:space="preserve">   </w:t>
      </w:r>
    </w:p>
    <w:p>
      <w:pPr>
        <w:pStyle w:val="Normal"/>
        <w:spacing w:lineRule="auto" w:line="360"/>
        <w:rPr>
          <w:spacing w:val="24"/>
          <w:sz w:val="28"/>
        </w:rPr>
      </w:pPr>
      <w:r>
        <w:rPr>
          <w:spacing w:val="24"/>
          <w:sz w:val="28"/>
        </w:rPr>
        <w:t>　　</w:t>
      </w:r>
    </w:p>
    <w:p>
      <w:pPr>
        <w:pStyle w:val="Normal"/>
        <w:spacing w:lineRule="auto" w:line="360"/>
        <w:rPr>
          <w:spacing w:val="24"/>
          <w:sz w:val="28"/>
        </w:rPr>
      </w:pPr>
      <w:r>
        <w:rPr>
          <w:spacing w:val="24"/>
          <w:sz w:val="28"/>
        </w:rPr>
      </w:r>
    </w:p>
    <w:p>
      <w:pPr>
        <w:pStyle w:val="Normal"/>
        <w:spacing w:lineRule="auto" w:line="360"/>
        <w:rPr>
          <w:spacing w:val="24"/>
          <w:sz w:val="28"/>
        </w:rPr>
      </w:pPr>
      <w:r>
        <w:rPr>
          <w:spacing w:val="24"/>
          <w:sz w:val="28"/>
        </w:rPr>
      </w:r>
    </w:p>
    <w:p>
      <w:pPr>
        <w:pStyle w:val="Normal"/>
        <w:spacing w:lineRule="auto" w:line="360"/>
        <w:rPr>
          <w:spacing w:val="24"/>
          <w:sz w:val="28"/>
        </w:rPr>
      </w:pPr>
      <w:r>
        <w:rPr>
          <w:spacing w:val="24"/>
          <w:sz w:val="28"/>
        </w:rPr>
      </w:r>
    </w:p>
    <w:p>
      <w:pPr>
        <w:pStyle w:val="Normal"/>
        <w:spacing w:lineRule="auto" w:line="360"/>
        <w:rPr>
          <w:spacing w:val="24"/>
          <w:sz w:val="28"/>
        </w:rPr>
      </w:pPr>
      <w:r>
        <w:rPr>
          <w:spacing w:val="24"/>
          <w:sz w:val="28"/>
        </w:rPr>
      </w:r>
    </w:p>
    <w:p>
      <w:pPr>
        <w:pStyle w:val="Normal"/>
        <w:spacing w:lineRule="auto" w:line="360"/>
        <w:rPr>
          <w:spacing w:val="24"/>
          <w:sz w:val="28"/>
        </w:rPr>
      </w:pPr>
      <w:r>
        <w:rPr>
          <w:spacing w:val="24"/>
          <w:sz w:val="28"/>
        </w:rPr>
      </w:r>
    </w:p>
    <w:p>
      <w:pPr>
        <w:sectPr>
          <w:footerReference w:type="default" r:id="rId2"/>
          <w:footerReference w:type="first" r:id="rId3"/>
          <w:type w:val="nextPage"/>
          <w:pgSz w:w="11906" w:h="16838"/>
          <w:pgMar w:left="1134" w:right="1134" w:gutter="0" w:header="0" w:top="1134" w:footer="992" w:bottom="1134"/>
          <w:pgNumType w:start="0" w:fmt="decimal"/>
          <w:formProt w:val="false"/>
          <w:titlePg/>
          <w:textDirection w:val="lrTb"/>
          <w:docGrid w:type="lines" w:linePitch="312" w:charSpace="0"/>
        </w:sectPr>
        <w:pStyle w:val="Normal"/>
        <w:spacing w:lineRule="auto" w:line="360"/>
        <w:jc w:val="center"/>
        <w:rPr>
          <w:spacing w:val="24"/>
          <w:sz w:val="28"/>
        </w:rPr>
      </w:pPr>
      <w:r>
        <w:rPr>
          <w:spacing w:val="24"/>
          <w:sz w:val="28"/>
        </w:rPr>
        <w:t xml:space="preserve">2026 年</w:t>
      </w:r>
      <w:r>
        <w:rPr>
          <w:rFonts w:eastAsia="Times New Roman"/>
          <w:spacing w:val="24"/>
          <w:sz w:val="28"/>
        </w:rPr>
        <w:t xml:space="preserve"> </w:t>
      </w:r>
      <w:r>
        <w:rPr>
          <w:spacing w:val="24"/>
          <w:sz w:val="28"/>
        </w:rPr>
        <w:t xml:space="preserve">   月</w:t>
      </w:r>
      <w:r>
        <w:rPr>
          <w:rFonts w:eastAsia="Times New Roman"/>
          <w:spacing w:val="24"/>
          <w:sz w:val="28"/>
        </w:rPr>
        <w:t xml:space="preserve"> </w:t>
      </w:r>
      <w:r>
        <w:rPr>
          <w:spacing w:val="24"/>
          <w:sz w:val="28"/>
        </w:rPr>
        <w:t xml:space="preserve">   日</w:t>
      </w:r>
    </w:p>
    <w:p>
      <w:pPr>
        <w:pStyle w:val="Normal"/>
        <w:spacing w:lineRule="auto" w:line="360"/>
        <w:rPr>
          <w:spacing w:val="24"/>
          <w:sz w:val="24"/>
        </w:rPr>
      </w:pPr>
      <w:r>
        <w:rPr>
          <w:spacing w:val="24"/>
          <w:sz w:val="24"/>
        </w:rPr>
      </w:r>
    </w:p>
    <w:p>
      <w:pPr>
        <w:pStyle w:val="Normal"/>
        <w:spacing w:lineRule="auto" w:line="480"/>
        <w:jc w:val="center"/>
        <w:rPr>
          <w:spacing w:val="24"/>
          <w:sz w:val="24"/>
        </w:rPr>
      </w:pPr>
      <w:r>
        <w:rPr>
          <w:spacing w:val="24"/>
          <w:sz w:val="24"/>
        </w:rPr>
        <w:t>说</w:t>
      </w:r>
      <w:r>
        <w:rPr>
          <w:rFonts w:eastAsia="Times New Roman"/>
          <w:spacing w:val="24"/>
          <w:sz w:val="24"/>
        </w:rPr>
        <w:t xml:space="preserve">   </w:t>
      </w:r>
      <w:r>
        <w:rPr>
          <w:spacing w:val="24"/>
          <w:sz w:val="24"/>
        </w:rPr>
        <w:t>明</w:t>
      </w:r>
    </w:p>
    <w:p>
      <w:pPr>
        <w:pStyle w:val="Normal"/>
        <w:spacing w:lineRule="auto" w:line="480"/>
        <w:jc w:val="start"/>
        <w:rPr>
          <w:spacing w:val="24"/>
          <w:sz w:val="24"/>
        </w:rPr>
      </w:pPr>
      <w:r>
        <w:rPr>
          <w:spacing w:val="24"/>
          <w:sz w:val="24"/>
        </w:rPr>
      </w:r>
    </w:p>
    <w:p>
      <w:pPr>
        <w:pStyle w:val="Normal"/>
        <w:spacing w:lineRule="auto" w:line="480"/>
        <w:ind w:firstLine="576" w:end="0"/>
        <w:jc w:val="start"/>
        <w:rPr>
          <w:spacing w:val="24"/>
          <w:sz w:val="24"/>
        </w:rPr>
      </w:pPr>
      <w:r>
        <w:rPr>
          <w:spacing w:val="24"/>
          <w:sz w:val="24"/>
        </w:rPr>
        <w:t>１、凡申购单价10万元（含）以上贵重仪器设备，均应进行可行性论证。</w:t>
      </w:r>
    </w:p>
    <w:p>
      <w:pPr>
        <w:pStyle w:val="Normal"/>
        <w:spacing w:lineRule="auto" w:line="480"/>
        <w:ind w:firstLine="576" w:end="0"/>
        <w:jc w:val="start"/>
        <w:rPr>
          <w:spacing w:val="24"/>
          <w:sz w:val="24"/>
        </w:rPr>
      </w:pPr>
      <w:r>
        <w:rPr>
          <w:spacing w:val="24"/>
          <w:sz w:val="24"/>
        </w:rPr>
        <w:t>２、申购单位应组织三人（含）以上有高级职称的技术人员（如本单位不足三人，可聘请相关学科有高级职称人员参加）按本表所要求的内容逐项进行论证和填写。单位技术论证小组组长（教授委员会）要填写专家组建议参考购置价，并在意见栏填写意见及理由。</w:t>
      </w:r>
    </w:p>
    <w:p>
      <w:pPr>
        <w:pStyle w:val="Normal"/>
        <w:spacing w:lineRule="auto" w:line="480"/>
        <w:ind w:firstLine="576" w:end="0"/>
        <w:jc w:val="start"/>
        <w:rPr>
          <w:spacing w:val="24"/>
          <w:sz w:val="24"/>
        </w:rPr>
      </w:pPr>
      <w:r>
        <w:rPr>
          <w:spacing w:val="24"/>
          <w:sz w:val="24"/>
        </w:rPr>
        <w:t>３、可行性论证报告送实验室与设备管理办公室审核后，单价100万元（含）以上的贵重仪器设备再由实验办组织校专家论证咨询小组进行论证。</w:t>
      </w:r>
    </w:p>
    <w:p>
      <w:pPr>
        <w:pStyle w:val="Normal"/>
        <w:spacing w:lineRule="auto" w:line="480"/>
        <w:ind w:firstLine="576" w:end="0"/>
        <w:jc w:val="start"/>
        <w:rPr>
          <w:spacing w:val="24"/>
          <w:sz w:val="24"/>
        </w:rPr>
      </w:pPr>
      <w:r>
        <w:rPr>
          <w:spacing w:val="24"/>
          <w:sz w:val="24"/>
        </w:rPr>
        <w:t>４、填写要认真，字迹清楚。进口仪器设备名称、供货商和生产厂家名称同时用中英文填写,同时还必须填写联系电话、传真电话、和Email地址。</w:t>
      </w:r>
    </w:p>
    <w:p>
      <w:pPr>
        <w:pStyle w:val="Normal"/>
        <w:spacing w:lineRule="auto" w:line="480"/>
        <w:ind w:firstLine="576" w:end="0"/>
        <w:jc w:val="start"/>
        <w:rPr/>
      </w:pPr>
      <w:r>
        <w:rPr>
          <w:spacing w:val="24"/>
          <w:sz w:val="24"/>
        </w:rPr>
        <w:t>５、本表一式二份审批后，对集中采购的仪器设备，其中两份连同采购单交物资管理科（其中一份留实验办存档，另一份报销时留财务处存档），复印件作为贵重仪器设备技术档案保存在申购单位。</w:t>
      </w:r>
    </w:p>
    <w:p>
      <w:pPr>
        <w:pStyle w:val="Normal"/>
        <w:spacing w:lineRule="auto" w:line="480"/>
        <w:ind w:firstLine="576" w:end="0"/>
        <w:jc w:val="start"/>
        <w:rPr>
          <w:spacing w:val="24"/>
          <w:sz w:val="24"/>
        </w:rPr>
      </w:pPr>
      <w:r>
        <w:rPr>
          <w:spacing w:val="24"/>
          <w:sz w:val="24"/>
        </w:rPr>
        <w:t>６、贵重仪器设备由单位自购的，入账前需将一份论证报告交实验办存档，入账时需附可行性论证报告。</w:t>
      </w:r>
    </w:p>
    <w:p>
      <w:pPr>
        <w:pStyle w:val="Normal"/>
        <w:spacing w:lineRule="auto" w:line="480"/>
        <w:ind w:firstLine="576" w:end="0"/>
        <w:jc w:val="start"/>
        <w:rPr>
          <w:spacing w:val="24"/>
          <w:sz w:val="24"/>
        </w:rPr>
      </w:pPr>
      <w:r>
        <w:rPr>
          <w:spacing w:val="24"/>
          <w:sz w:val="24"/>
        </w:rPr>
        <w:t>７、本表不够填写可附页。</w:t>
      </w:r>
    </w:p>
    <w:p>
      <w:pPr>
        <w:pStyle w:val="Normal"/>
        <w:spacing w:lineRule="auto" w:line="480"/>
        <w:rPr>
          <w:spacing w:val="24"/>
          <w:sz w:val="24"/>
        </w:rPr>
      </w:pPr>
      <w:r>
        <w:rPr>
          <w:spacing w:val="24"/>
          <w:sz w:val="24"/>
        </w:rPr>
      </w:r>
    </w:p>
    <w:p>
      <w:pPr>
        <w:pStyle w:val="Normal"/>
        <w:spacing w:lineRule="auto" w:line="480"/>
        <w:jc w:val="center"/>
        <w:rPr>
          <w:spacing w:val="24"/>
          <w:sz w:val="28"/>
        </w:rPr>
      </w:pPr>
      <w:r>
        <w:rPr>
          <w:spacing w:val="24"/>
          <w:sz w:val="28"/>
        </w:rPr>
      </w:r>
    </w:p>
    <w:p>
      <w:pPr>
        <w:pStyle w:val="Normal"/>
        <w:spacing w:lineRule="auto" w:line="480"/>
        <w:jc w:val="center"/>
        <w:rPr>
          <w:spacing w:val="24"/>
          <w:sz w:val="28"/>
        </w:rPr>
      </w:pPr>
      <w:r>
        <w:rPr>
          <w:spacing w:val="24"/>
          <w:sz w:val="28"/>
        </w:rPr>
      </w:r>
    </w:p>
    <w:p>
      <w:pPr>
        <w:pStyle w:val="Normal"/>
        <w:spacing w:lineRule="auto" w:line="480"/>
        <w:jc w:val="center"/>
        <w:rPr>
          <w:spacing w:val="24"/>
          <w:sz w:val="28"/>
        </w:rPr>
      </w:pPr>
      <w:r>
        <w:rPr>
          <w:spacing w:val="24"/>
          <w:sz w:val="28"/>
        </w:rPr>
      </w:r>
    </w:p>
    <w:p>
      <w:pPr>
        <w:pStyle w:val="Normal"/>
        <w:spacing w:lineRule="auto" w:line="480"/>
        <w:jc w:val="start"/>
        <w:rPr>
          <w:spacing w:val="24"/>
          <w:sz w:val="28"/>
        </w:rPr>
      </w:pPr>
      <w:r>
        <w:rPr>
          <w:spacing w:val="24"/>
          <w:sz w:val="28"/>
        </w:rPr>
      </w:r>
    </w:p>
    <w:tbl>
      <w:tblPr>
        <w:tblW w:w="87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8"/>
        <w:gridCol w:w="2681"/>
        <w:gridCol w:w="1132"/>
        <w:gridCol w:w="668"/>
        <w:gridCol w:w="1275"/>
        <w:gridCol w:w="2152"/>
      </w:tblGrid>
      <w:tr>
        <w:trPr>
          <w:trHeight w:val="930" w:hRule="atLeast"/>
          <w:cantSplit w:val="true"/>
        </w:trPr>
        <w:tc>
          <w:tcPr>
            <w:tcW w:w="8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仪</w:t>
            </w:r>
          </w:p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器</w:t>
            </w:r>
          </w:p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名</w:t>
            </w:r>
          </w:p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称</w:t>
            </w:r>
          </w:p>
        </w:tc>
        <w:tc>
          <w:tcPr>
            <w:tcW w:w="26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</w:pPr>
            <w:r>
              <w:rPr>
                <w:color w:val="000000"/>
                <w:sz w:val="24"/>
                <w:szCs w:val="24"/>
              </w:rPr>
              <w:t xml:space="preserve">四探针电阻率测试仪</w:t>
            </w:r>
          </w:p>
          <w:p>
            <w:pPr>
              <w:pStyle w:val="Normal"/>
              <w:jc w:val="center"/>
            </w:pPr>
            <w:r>
              <w:rPr>
                <w:color w:val="000000"/>
                <w:sz w:val="24"/>
                <w:szCs w:val="24"/>
              </w:rPr>
              <w:t xml:space="preserve">（Four-Point Probe Resistivity Tester）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供货商（包括中英文名称、联系电话、传真电话、Email）</w:t>
            </w:r>
          </w:p>
        </w:tc>
        <w:tc>
          <w:tcPr>
            <w:tcW w:w="34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厦门方仪电子科技有限公司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（Xiamen Fangyi Electronic Technology Co., Ltd.）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Tel：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Fax：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Email：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联系人：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手机：</w:t>
            </w:r>
          </w:p>
        </w:tc>
      </w:tr>
      <w:tr>
        <w:trPr>
          <w:trHeight w:val="913" w:hRule="atLeast"/>
          <w:cantSplit w:val="true"/>
        </w:trPr>
        <w:tc>
          <w:tcPr>
            <w:tcW w:w="8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</w:tc>
        <w:tc>
          <w:tcPr>
            <w:tcW w:w="26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240" w:end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生产厂家（包括中英文名称、联系电话、传真、Email）</w:t>
            </w:r>
          </w:p>
        </w:tc>
        <w:tc>
          <w:tcPr>
            <w:tcW w:w="34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日本NAPSON株式会社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（NAPSON Corporation, Japan）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Tel：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Fax：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Email：</w:t>
            </w:r>
          </w:p>
        </w:tc>
      </w:tr>
      <w:tr>
        <w:trPr>
          <w:trHeight w:val="555" w:hRule="atLeast"/>
          <w:cantSplit w:val="true"/>
        </w:trPr>
        <w:tc>
          <w:tcPr>
            <w:tcW w:w="8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主机型号</w:t>
            </w:r>
          </w:p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规格</w:t>
            </w:r>
          </w:p>
        </w:tc>
        <w:tc>
          <w:tcPr>
            <w:tcW w:w="3813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</w:pPr>
            <w:r>
              <w:rPr>
                <w:color w:val="000000"/>
                <w:sz w:val="24"/>
                <w:szCs w:val="24"/>
              </w:rPr>
              <w:t xml:space="preserve">NAPSON RT-70</w:t>
            </w:r>
          </w:p>
          <w:p>
            <w:pPr>
              <w:pStyle w:val="Normal"/>
              <w:jc w:val="center"/>
            </w:pPr>
            <w:r>
              <w:rPr>
                <w:color w:val="000000"/>
                <w:sz w:val="24"/>
                <w:szCs w:val="24"/>
              </w:rPr>
              <w:t xml:space="preserve">（RT-70V测试主机）</w:t>
            </w:r>
          </w:p>
        </w:tc>
        <w:tc>
          <w:tcPr>
            <w:tcW w:w="19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报</w:t>
            </w:r>
            <w:r>
              <w:rPr>
                <w:rFonts w:eastAsia="Times New Roman"/>
                <w:color w:val="000000"/>
                <w:sz w:val="24"/>
              </w:rPr>
              <w:t xml:space="preserve">  </w:t>
            </w:r>
            <w:r>
              <w:rPr>
                <w:color w:val="000000"/>
                <w:sz w:val="24"/>
              </w:rPr>
              <w:t>价</w:t>
            </w:r>
          </w:p>
        </w:tc>
        <w:tc>
          <w:tcPr>
            <w:tcW w:w="2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折</w:t>
            </w:r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扣</w:t>
            </w:r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价</w:t>
            </w:r>
          </w:p>
        </w:tc>
      </w:tr>
      <w:tr>
        <w:trPr>
          <w:trHeight w:val="814" w:hRule="atLeast"/>
          <w:cantSplit w:val="true"/>
        </w:trPr>
        <w:tc>
          <w:tcPr>
            <w:tcW w:w="8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</w:tc>
        <w:tc>
          <w:tcPr>
            <w:tcW w:w="3813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9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</w:pPr>
            <w:r>
              <w:rPr>
                <w:color w:val="000000"/>
                <w:sz w:val="24"/>
                <w:szCs w:val="24"/>
              </w:rPr>
              <w:t xml:space="preserve">¥350,000</w:t>
            </w:r>
          </w:p>
        </w:tc>
        <w:tc>
          <w:tcPr>
            <w:tcW w:w="2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</w:pPr>
            <w:r>
              <w:rPr>
                <w:color w:val="000000"/>
                <w:sz w:val="21"/>
                <w:szCs w:val="21"/>
              </w:rPr>
              <w:t xml:space="preserve">以最终采购合同价为准</w:t>
            </w:r>
          </w:p>
        </w:tc>
      </w:tr>
      <w:tr>
        <w:trPr>
          <w:trHeight w:val="555" w:hRule="atLeast"/>
          <w:cantSplit w:val="true"/>
        </w:trPr>
        <w:tc>
          <w:tcPr>
            <w:tcW w:w="8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附件型号规格</w:t>
            </w:r>
          </w:p>
        </w:tc>
        <w:tc>
          <w:tcPr>
            <w:tcW w:w="3813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</w:pPr>
            <w:r>
              <w:rPr>
                <w:color w:val="000000"/>
                <w:sz w:val="22"/>
                <w:szCs w:val="22"/>
              </w:rPr>
              <w:t xml:space="preserve">QT-SW标准电阻片；</w:t>
            </w:r>
          </w:p>
          <w:p>
            <w:pPr>
              <w:pStyle w:val="Normal"/>
              <w:jc w:val="center"/>
            </w:pPr>
            <w:r>
              <w:rPr>
                <w:color w:val="000000"/>
                <w:sz w:val="22"/>
                <w:szCs w:val="22"/>
              </w:rPr>
              <w:t xml:space="preserve">四探针测试探头；</w:t>
            </w:r>
          </w:p>
          <w:p>
            <w:pPr>
              <w:pStyle w:val="Normal"/>
              <w:jc w:val="center"/>
            </w:pPr>
            <w:r>
              <w:rPr>
                <w:color w:val="000000"/>
                <w:sz w:val="22"/>
                <w:szCs w:val="22"/>
              </w:rPr>
              <w:t xml:space="preserve">测试软件</w:t>
            </w:r>
          </w:p>
        </w:tc>
        <w:tc>
          <w:tcPr>
            <w:tcW w:w="19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报</w:t>
            </w:r>
            <w:r>
              <w:rPr>
                <w:rFonts w:eastAsia="Times New Roman"/>
                <w:color w:val="000000"/>
                <w:sz w:val="24"/>
              </w:rPr>
              <w:t xml:space="preserve">  </w:t>
            </w:r>
            <w:r>
              <w:rPr>
                <w:color w:val="000000"/>
                <w:sz w:val="24"/>
              </w:rPr>
              <w:t>价</w:t>
            </w:r>
          </w:p>
        </w:tc>
        <w:tc>
          <w:tcPr>
            <w:tcW w:w="2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折</w:t>
            </w:r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扣</w:t>
            </w:r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价</w:t>
            </w:r>
          </w:p>
        </w:tc>
      </w:tr>
      <w:tr>
        <w:trPr>
          <w:trHeight w:val="818" w:hRule="atLeast"/>
          <w:cantSplit w:val="true"/>
        </w:trPr>
        <w:tc>
          <w:tcPr>
            <w:tcW w:w="8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</w:tc>
        <w:tc>
          <w:tcPr>
            <w:tcW w:w="3813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9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包含在主机内</w:t>
            </w:r>
          </w:p>
        </w:tc>
        <w:tc>
          <w:tcPr>
            <w:tcW w:w="2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322" w:leader="none"/>
                <w:tab w:val="center" w:pos="1028" w:leader="none"/>
              </w:tabs>
              <w:jc w:val="star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ab/>
              <w:tab/>
              <w:t>包含在主机内</w:t>
            </w:r>
          </w:p>
        </w:tc>
      </w:tr>
      <w:tr>
        <w:trPr>
          <w:trHeight w:val="616" w:hRule="atLeast"/>
          <w:cantSplit w:val="true"/>
        </w:trPr>
        <w:tc>
          <w:tcPr>
            <w:tcW w:w="46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全套设备总金额（厦门到岸价）</w:t>
            </w:r>
          </w:p>
        </w:tc>
        <w:tc>
          <w:tcPr>
            <w:tcW w:w="40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</w:pPr>
            <w:r>
              <w:rPr>
                <w:color w:val="000000"/>
                <w:sz w:val="24"/>
                <w:szCs w:val="24"/>
              </w:rPr>
              <w:t xml:space="preserve">人民币 350,000 元（大写：叁拾伍万元整）</w:t>
            </w:r>
          </w:p>
        </w:tc>
      </w:tr>
      <w:tr>
        <w:trPr>
          <w:trHeight w:val="616" w:hRule="atLeast"/>
          <w:cantSplit w:val="true"/>
        </w:trPr>
        <w:tc>
          <w:tcPr>
            <w:tcW w:w="46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其他费用（代理费、进口报关、运费等）</w:t>
            </w:r>
          </w:p>
        </w:tc>
        <w:tc>
          <w:tcPr>
            <w:tcW w:w="40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</w:pPr>
            <w:r>
              <w:rPr>
                <w:color w:val="000000"/>
                <w:sz w:val="24"/>
                <w:szCs w:val="24"/>
              </w:rPr>
              <w:t xml:space="preserve">无（已包含在全套设备总金额内）</w:t>
            </w:r>
          </w:p>
        </w:tc>
      </w:tr>
      <w:tr>
        <w:trPr>
          <w:trHeight w:val="2795" w:hRule="atLeast"/>
          <w:cantSplit w:val="true"/>
        </w:trPr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仪</w:t>
            </w:r>
          </w:p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器</w:t>
            </w:r>
          </w:p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主</w:t>
            </w:r>
          </w:p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要</w:t>
            </w:r>
          </w:p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技</w:t>
            </w:r>
          </w:p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术</w:t>
            </w:r>
          </w:p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指</w:t>
            </w:r>
          </w:p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标</w:t>
            </w:r>
          </w:p>
        </w:tc>
        <w:tc>
          <w:tcPr>
            <w:tcW w:w="79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测试方法：直线四探针法，测量方块电阻及电阻率；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1. V/I 量程：1.0 mΩ ~ 3.0 MΩ；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2. 方块电阻量程：5.0 mΩ/□ ~ 10.0 MΩ/□；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3. 电阻率量程：1.0 μΩ·cm ~ 300.0 kΩ·cm；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4. 测量精度：＜±1%（可溯源至中国计量单位）；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5. 测试重复性：CV ≤ 0.7%；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6. 测试功能切换：可在RT-70V主机上手动切换，也可在测试软件上切换；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7. 主要配置：RT-70V测试主机、QT-SW标准电阻片、四探针测试探头、测试软件；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8. 是否含有特种设备：否。</w:t>
            </w:r>
          </w:p>
        </w:tc>
      </w:tr>
      <w:tr>
        <w:trPr>
          <w:trHeight w:val="10293" w:hRule="atLeast"/>
          <w:cantSplit w:val="true"/>
        </w:trPr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pacing w:lineRule="exact" w:line="300"/>
              <w:ind w:start="113" w:end="113"/>
              <w:jc w:val="center"/>
              <w:rPr>
                <w:sz w:val="24"/>
              </w:rPr>
            </w:pPr>
            <w:r>
              <w:rPr>
                <w:sz w:val="24"/>
              </w:rPr>
              <w:t>（三家）</w:t>
            </w:r>
          </w:p>
          <w:p>
            <w:pPr>
              <w:pStyle w:val="Normal"/>
              <w:spacing w:lineRule="exact" w:line="300"/>
              <w:ind w:start="113" w:end="113"/>
              <w:jc w:val="center"/>
              <w:rPr/>
            </w:pPr>
            <w:r>
              <w:rPr/>
              <w:t>同类仪器性能价格比较</w:t>
            </w:r>
          </w:p>
        </w:tc>
        <w:tc>
          <w:tcPr>
            <w:tcW w:w="79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tbl>
            <w:tblPr>
              <w:tblW w:w="8021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210"/>
              <w:gridCol w:w="2215"/>
              <w:gridCol w:w="1843"/>
              <w:gridCol w:w="1753"/>
            </w:tblGrid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b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b/>
                      <w:color w:val="000000"/>
                      <w:sz w:val="21"/>
                      <w:szCs w:val="21"/>
                    </w:rPr>
                    <w:t xml:space="preserve">厂家一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b/>
                      <w:color w:val="000000"/>
                      <w:sz w:val="21"/>
                      <w:szCs w:val="21"/>
                    </w:rPr>
                    <w:t xml:space="preserve">厂家二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b/>
                      <w:color w:val="000000"/>
                      <w:sz w:val="21"/>
                      <w:szCs w:val="21"/>
                    </w:rPr>
                    <w:t xml:space="preserve">厂家三</w:t>
                  </w:r>
                </w:p>
              </w:tc>
            </w:tr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生产厂家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日本NAPSON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美国Signatone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日本KLA</w:t>
                  </w:r>
                </w:p>
              </w:tc>
            </w:tr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型号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RT-70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S-302-4B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Filmetrics R50</w:t>
                  </w:r>
                </w:p>
              </w:tc>
            </w:tr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单价（元）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350000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380000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550000</w:t>
                  </w:r>
                </w:p>
              </w:tc>
            </w:tr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V/I量程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1.0mΩ ~ 3.0MΩ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2.0Ω ~ 200.0MΩ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0.01Ω ~ 1.0MΩ</w:t>
                  </w:r>
                </w:p>
              </w:tc>
            </w:tr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方块电阻量程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5.0mΩ/□ ~ 10.0MΩ/□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5.0mΩ/□ ~ 5.0MΩ/□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5.0mΩ/□ ~ 5.0MΩ/□</w:t>
                  </w:r>
                </w:p>
              </w:tc>
            </w:tr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电阻率量程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1.0μΩ·cm ~ 300.0kΩ·cm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1.0μΩ·cm ~ 150.0kΩ·cm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1.0μΩ·cm ~ 100.0kΩ·cm</w:t>
                  </w:r>
                </w:p>
              </w:tc>
            </w:tr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测量精度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＜±1%（溯源中国计量单位）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＜±1%（溯源中国计量单位）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＜±2%（溯源中国计量单位）</w:t>
                  </w:r>
                </w:p>
              </w:tc>
            </w:tr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测试重复率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CV ≤ 0.7%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CV ≤ 1%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CV ≤ 3%</w:t>
                  </w:r>
                </w:p>
              </w:tc>
            </w:tr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测试功能切换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RT-70V主机上手动切换，与测试软件上切换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测试软件上切换，无测试主机的切换功能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主机上手动切换，无测试软件</w:t>
                  </w:r>
                </w:p>
              </w:tc>
            </w:tr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主要配置清单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RT-70V测试主机，QT-SW标准电阻片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S-302-4测试平台，SP4四探针探头，Pro4 Software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MCP-T370主机，充电器，MCP-TP-03P四探针探头（探针间距5mm）</w:t>
                  </w:r>
                </w:p>
              </w:tc>
            </w:tr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调研对象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厦门方仪电子科技有限公司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上海波铭科学仪器有限公司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深圳市云帆兴烨科技有限公司</w:t>
                  </w:r>
                </w:p>
              </w:tc>
            </w:tr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调研方式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电话咨询，产品介绍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电话调查，产品介绍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电话调查，产品介绍</w:t>
                  </w:r>
                </w:p>
              </w:tc>
            </w:tr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调研材料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报价单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报价单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报价单</w:t>
                  </w:r>
                </w:p>
              </w:tc>
            </w:tr>
            <w:tr>
              <w:trPr/>
              <w:tc>
                <w:tcPr>
                  <w:tcW w:w="2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start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是否含有特种设备</w:t>
                  </w:r>
                </w:p>
              </w:tc>
              <w:tc>
                <w:tcPr>
                  <w:tcW w:w="22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无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无</w:t>
                  </w:r>
                </w:p>
              </w:tc>
              <w:tc>
                <w:tcPr>
                  <w:tcW w:w="17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无</w:t>
                  </w:r>
                </w:p>
              </w:tc>
            </w:tr>
          </w:tbl>
          <w:p>
            <w:pPr>
              <w:pStyle w:val="Normal"/>
              <w:jc w:val="start"/>
            </w:pPr>
            <w:r>
              <w:rPr>
                <w:color w:val="000000"/>
                <w:sz w:val="21"/>
                <w:szCs w:val="21"/>
              </w:rPr>
              <w:t xml:space="preserve">1. 测量范围：RT-70的方块电阻量程（5.0mΩ/□ ~ 10.0MΩ/□）和电阻率量程（1.0μΩ·cm ~ 300.0kΩ·cm）均为三家中最宽，V/I量程下限低至1.0mΩ，可覆盖从低阻金属薄膜、透明导电膜到掺杂半导体及较高阻材料的测试需求。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1"/>
                <w:szCs w:val="21"/>
              </w:rPr>
              <w:t xml:space="preserve">2. 测试精度与重复性：RT-70测量精度＜±1%，测试重复性CV ≤ 0.7%，优于美国Signatone S-302-4B（＜±1%，CV ≤ 1%）和日本KLA Filmetrics R50（＜±2%，CV ≤ 3%），数据可靠性最好。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1"/>
                <w:szCs w:val="21"/>
              </w:rPr>
              <w:t xml:space="preserve">3. 操作方式：RT-70既可在RT-70V主机上手动切换测试功能，也可在测试软件上切换，使用灵活；另两家仅支持软件切换或主机切换中的一种。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1"/>
                <w:szCs w:val="21"/>
              </w:rPr>
              <w:t xml:space="preserve">4. 价格与售后：RT-70单价35万元，为三家中最低，比S-302-4B低3万元，比Filmetrics R50低20万元；且该产品在国内有完善的售后服务点，供货商位于厦门本地，服务响应及时。</w:t>
            </w:r>
          </w:p>
          <w:p>
            <w:pPr>
              <w:pStyle w:val="Normal"/>
              <w:ind w:firstLine="480"/>
              <w:jc w:val="start"/>
            </w:pPr>
            <w:r>
              <w:rPr>
                <w:b/>
                <w:color w:val="000000"/>
                <w:sz w:val="21"/>
                <w:szCs w:val="21"/>
              </w:rPr>
              <w:t xml:space="preserve">综上，RT-70电阻率量程范围较宽，测试精度和重复性较好，价格便宜，性能价格比最高。经综合比较，推荐排序：1. 日本NAPSON公司RT-70；2. 美国Signatone公司S-302-4B；3. 日本KLA公司Filmetrics R50。拟购置日本NAPSON公司RT-70。</w:t>
            </w:r>
          </w:p>
        </w:tc>
      </w:tr>
    </w:tbl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   </w:t>
      </w:r>
    </w:p>
    <w:p>
      <w:pPr>
        <w:sectPr>
          <w:footerReference w:type="default" r:id="rId4"/>
          <w:footerReference w:type="first" r:id="rId5"/>
          <w:type w:val="nextPage"/>
          <w:pgSz w:w="11906" w:h="16838"/>
          <w:pgMar w:left="1134" w:right="1134" w:gutter="0" w:header="0" w:top="1134" w:footer="992" w:bottom="1134"/>
          <w:pgNumType w:fmt="decimal"/>
          <w:formProt w:val="false"/>
          <w:titlePg/>
          <w:textDirection w:val="lrTb"/>
          <w:docGrid w:type="lines" w:linePitch="312" w:charSpace="0"/>
        </w:sectPr>
        <w:pStyle w:val="Normal"/>
        <w:jc w:val="start"/>
        <w:rPr>
          <w:spacing w:val="24"/>
          <w:sz w:val="24"/>
        </w:rPr>
      </w:pPr>
      <w:r>
        <w:rPr>
          <w:spacing w:val="24"/>
          <w:sz w:val="24"/>
        </w:rPr>
        <w:t>注：论证报告中涉及的金额应统一币种</w:t>
      </w:r>
    </w:p>
    <w:tbl>
      <w:tblPr>
        <w:tblW w:w="90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5"/>
        <w:gridCol w:w="992"/>
        <w:gridCol w:w="882"/>
        <w:gridCol w:w="840"/>
        <w:gridCol w:w="734"/>
        <w:gridCol w:w="1797"/>
        <w:gridCol w:w="2846"/>
      </w:tblGrid>
      <w:tr>
        <w:trPr/>
        <w:tc>
          <w:tcPr>
            <w:tcW w:w="909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4935" w:leader="none"/>
              </w:tabs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该仪器设备的用途、购置的必要性、效益预测、风险分析</w:t>
            </w:r>
          </w:p>
        </w:tc>
      </w:tr>
      <w:tr>
        <w:trPr>
          <w:trHeight w:val="13417" w:hRule="atLeast"/>
        </w:trPr>
        <w:tc>
          <w:tcPr>
            <w:tcW w:w="909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</w:pPr>
            <w:r>
              <w:rPr>
                <w:b/>
                <w:color w:val="000000"/>
                <w:sz w:val="24"/>
                <w:szCs w:val="24"/>
              </w:rPr>
              <w:t xml:space="preserve">一、用途：</w:t>
            </w:r>
          </w:p>
          <w:p>
            <w:pPr>
              <w:pStyle w:val="Normal"/>
              <w:ind w:firstLine="480"/>
              <w:jc w:val="start"/>
            </w:pPr>
            <w:r>
              <w:rPr>
                <w:color w:val="000000"/>
                <w:sz w:val="24"/>
                <w:szCs w:val="24"/>
              </w:rPr>
              <w:t xml:space="preserve">四探针电阻率测试仪采用四探针法测量材料的方块电阻和电阻率，是半导体材料与器件、薄膜材料及能源材料研究中最基础的电学表征仪器之一。主要用于测量硅片等半导体晶圆、外延层、扩散/离子注入层，金属薄膜、ITO等透明导电薄膜，以及电极材料、导电涂层等能源材料的方块电阻和电阻率，为材料制备工艺优化和器件性能分析提供数据支撑。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  <w:p>
            <w:pPr>
              <w:pStyle w:val="Normal"/>
              <w:jc w:val="start"/>
            </w:pPr>
            <w:r>
              <w:rPr>
                <w:b/>
                <w:color w:val="000000"/>
                <w:sz w:val="24"/>
                <w:szCs w:val="24"/>
              </w:rPr>
              <w:t xml:space="preserve">二、功能：</w:t>
            </w:r>
          </w:p>
          <w:p>
            <w:pPr>
              <w:pStyle w:val="Normal"/>
              <w:ind w:firstLine="480"/>
              <w:jc w:val="start"/>
            </w:pPr>
            <w:r>
              <w:rPr>
                <w:color w:val="000000"/>
                <w:sz w:val="24"/>
                <w:szCs w:val="24"/>
              </w:rPr>
              <w:t xml:space="preserve">仪器由RT-70V测试主机、四探针测试探头和测试软件组成。测试时由外侧两根探针向样品通入恒定电流，内侧两根探针测量电压，经几何修正后得到样品的方块电阻和电阻率。方块电阻量程5.0mΩ/□ ~ 10.0MΩ/□，电阻率量程1.0μΩ·cm ~ 300.0kΩ·cm，测量精度＜±1%，测试重复性CV ≤ 0.7%；可在主机上手动切换或在软件上切换测试功能；配套QT-SW标准电阻片用于日常校准核查，测量结果可溯源至中国计量单位。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  <w:p>
            <w:pPr>
              <w:pStyle w:val="Normal"/>
              <w:jc w:val="start"/>
            </w:pPr>
            <w:r>
              <w:rPr>
                <w:b/>
                <w:color w:val="000000"/>
                <w:sz w:val="24"/>
                <w:szCs w:val="24"/>
              </w:rPr>
              <w:t xml:space="preserve">三、购置的必要性：</w:t>
            </w:r>
          </w:p>
          <w:p>
            <w:pPr>
              <w:pStyle w:val="Normal"/>
              <w:ind w:firstLine="480"/>
              <w:jc w:val="start"/>
            </w:pPr>
            <w:r>
              <w:rPr>
                <w:color w:val="000000"/>
                <w:sz w:val="24"/>
                <w:szCs w:val="24"/>
              </w:rPr>
              <w:t xml:space="preserve">1. 方块电阻和电阻率是评价半导体及薄膜材料掺杂浓度、成膜质量和工艺均匀性的关键参数，在材料制备和器件研制过程中需要频繁、快速地进行测试。目前实验室尚无满足上述测试需求的四探针测试设备，样品需外送测试，周期长、费用高，且不便于随工艺过程及时反馈，影响研究进度。</w:t>
            </w:r>
          </w:p>
          <w:p>
            <w:pPr>
              <w:pStyle w:val="Normal"/>
              <w:ind w:firstLine="480"/>
              <w:jc w:val="start"/>
            </w:pPr>
            <w:r>
              <w:rPr>
                <w:color w:val="000000"/>
                <w:sz w:val="24"/>
                <w:szCs w:val="24"/>
              </w:rPr>
              <w:t xml:space="preserve">2. 四探针法为无损、标准化的测试方法，操作简单、测试速度快、维护成本低、使用频率高，适合大量样品的日常测试，也非常适合高校实验室开展科研和教学使用。</w:t>
            </w:r>
          </w:p>
          <w:p>
            <w:pPr>
              <w:pStyle w:val="Normal"/>
              <w:ind w:firstLine="480"/>
              <w:jc w:val="start"/>
            </w:pPr>
            <w:r>
              <w:rPr>
                <w:color w:val="000000"/>
                <w:sz w:val="24"/>
                <w:szCs w:val="24"/>
              </w:rPr>
              <w:t xml:space="preserve">3. RT-70量程宽，一台仪器即可覆盖从低阻金属薄膜到半导体及较高阻材料的测试，可同时满足多个课题组的测试需求，便于开放共享。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  <w:p>
            <w:pPr>
              <w:pStyle w:val="Normal"/>
              <w:jc w:val="start"/>
            </w:pPr>
            <w:r>
              <w:rPr>
                <w:b/>
                <w:color w:val="000000"/>
                <w:sz w:val="24"/>
                <w:szCs w:val="24"/>
              </w:rPr>
              <w:t xml:space="preserve">四、效益预测：</w:t>
            </w:r>
          </w:p>
          <w:p>
            <w:pPr>
              <w:pStyle w:val="Normal"/>
              <w:ind w:firstLine="480"/>
              <w:jc w:val="start"/>
            </w:pPr>
            <w:r>
              <w:rPr>
                <w:color w:val="000000"/>
                <w:sz w:val="24"/>
                <w:szCs w:val="24"/>
              </w:rPr>
              <w:t xml:space="preserve">仪器购置后，可为能源材料、半导体材料与器件等相关课题提供日常、快速、可靠的电学表征手段，及时反馈并指导材料制备工艺的优化，缩短研发周期，减少外送测试费用；同时可用于研究生实验技能培养。仪器将纳入学校贵重仪器共享平台，对校内外开放，提高设备使用效益，为厦门大学高水平科研创新平台和人才培养基地的建设提供支撑。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  <w:p>
            <w:pPr>
              <w:pStyle w:val="Normal"/>
              <w:jc w:val="start"/>
            </w:pPr>
            <w:r>
              <w:rPr>
                <w:b/>
                <w:color w:val="000000"/>
                <w:sz w:val="24"/>
                <w:szCs w:val="24"/>
              </w:rPr>
              <w:t xml:space="preserve">五、风险分析：</w:t>
            </w:r>
          </w:p>
          <w:p>
            <w:pPr>
              <w:pStyle w:val="Normal"/>
              <w:ind w:firstLine="480"/>
              <w:jc w:val="start"/>
            </w:pPr>
            <w:r>
              <w:rPr>
                <w:color w:val="000000"/>
                <w:sz w:val="24"/>
                <w:szCs w:val="24"/>
              </w:rPr>
              <w:t xml:space="preserve">1. 技术风险：四探针法是成熟、通用的电阻率测试方法；日本NAPSON公司是专业生产电阻率测试设备的厂商，产品在半导体行业及科研院所应用广泛。经与同类产品比较，RT-70在量程、测量精度和重复性等主要指标上均具有优势，技术风险低。</w:t>
            </w:r>
          </w:p>
          <w:p>
            <w:pPr>
              <w:pStyle w:val="Normal"/>
              <w:ind w:firstLine="480"/>
              <w:jc w:val="start"/>
            </w:pPr>
            <w:r>
              <w:rPr>
                <w:color w:val="000000"/>
                <w:sz w:val="24"/>
                <w:szCs w:val="24"/>
              </w:rPr>
              <w:t xml:space="preserve">2. 售后风险：该产品在国内有完善的售后服务点，供货商厦门方仪电子科技有限公司位于厦门本地，可提供安装调试、培训及维修服务，整机一年保修，零配件由原厂供应。</w:t>
            </w:r>
          </w:p>
          <w:p>
            <w:pPr>
              <w:pStyle w:val="Normal"/>
              <w:ind w:firstLine="480"/>
              <w:jc w:val="start"/>
            </w:pPr>
            <w:r>
              <w:rPr>
                <w:color w:val="000000"/>
                <w:sz w:val="24"/>
                <w:szCs w:val="24"/>
              </w:rPr>
              <w:t xml:space="preserve">3. 安全风险：仪器为低压电子测量设备，不含特种设备，使用过程中不产生有毒有害物质，无安全和环境风险。</w:t>
            </w:r>
          </w:p>
          <w:p>
            <w:pPr>
              <w:pStyle w:val="Normal"/>
              <w:ind w:firstLine="480"/>
              <w:jc w:val="start"/>
            </w:pPr>
            <w:r>
              <w:rPr>
                <w:color w:val="000000"/>
                <w:sz w:val="24"/>
                <w:szCs w:val="24"/>
              </w:rPr>
              <w:t xml:space="preserve">4. 价格风险：经对三家同类产品调研比价，RT-70价格最低，性能价格比最高。</w:t>
            </w:r>
          </w:p>
          <w:p>
            <w:pPr>
              <w:pStyle w:val="Normal"/>
              <w:ind w:firstLine="480"/>
              <w:jc w:val="start"/>
            </w:pPr>
            <w:r>
              <w:rPr>
                <w:color w:val="000000"/>
                <w:sz w:val="24"/>
                <w:szCs w:val="24"/>
              </w:rPr>
              <w:t xml:space="preserve">综上，申请人认为选购该产品今后运行风险低，能够较快地投入使用并取得良好的科研效益。</w:t>
            </w:r>
          </w:p>
        </w:tc>
      </w:tr>
      <w:tr>
        <w:trPr/>
        <w:tc>
          <w:tcPr>
            <w:tcW w:w="909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本校和本地区同类仪器的分布及使用情况，可否利用已有设备开展工作</w:t>
            </w:r>
          </w:p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（单价40万元以上仪器设备填写，校内同类仪器清单附后）</w:t>
            </w:r>
          </w:p>
        </w:tc>
      </w:tr>
      <w:tr>
        <w:trPr>
          <w:trHeight w:val="1831" w:hRule="atLeast"/>
        </w:trPr>
        <w:tc>
          <w:tcPr>
            <w:tcW w:w="909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</w:pPr>
            <w:r>
              <w:rPr>
                <w:color w:val="000000"/>
                <w:sz w:val="24"/>
                <w:szCs w:val="24"/>
              </w:rPr>
              <w:t xml:space="preserve">本仪器单价为35万元，低于40万元，按规定此栏可不填写。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4"/>
                <w:szCs w:val="24"/>
              </w:rPr>
              <w:t xml:space="preserve">说明：四探针电阻率测试需随材料制备工艺过程及时进行，测试频次高，外借或外送测试难以满足日常研究需求，因此需单独购置。</w:t>
            </w:r>
          </w:p>
        </w:tc>
      </w:tr>
      <w:tr>
        <w:trPr/>
        <w:tc>
          <w:tcPr>
            <w:tcW w:w="445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购置费来源及到位年度</w:t>
            </w:r>
          </w:p>
        </w:tc>
        <w:tc>
          <w:tcPr>
            <w:tcW w:w="46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运行维护费预计及来源</w:t>
            </w:r>
          </w:p>
          <w:p>
            <w:pPr>
              <w:pStyle w:val="Normal"/>
              <w:ind w:firstLine="480" w:end="0"/>
              <w:jc w:val="start"/>
              <w:rPr>
                <w:sz w:val="24"/>
              </w:rPr>
            </w:pPr>
            <w:r>
              <w:rPr>
                <w:sz w:val="24"/>
              </w:rPr>
              <w:t>（单价40万元以上设备填写）</w:t>
            </w:r>
          </w:p>
        </w:tc>
      </w:tr>
      <w:tr>
        <w:trPr>
          <w:trHeight w:val="158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年度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中央专项</w:t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省市共建</w:t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校拨经费</w:t>
            </w:r>
          </w:p>
        </w:tc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自筹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sz w:val="24"/>
              </w:rPr>
            </w:pPr>
            <w:r>
              <w:rPr>
                <w:sz w:val="24"/>
              </w:rPr>
              <w:t>预计年运行维护费金额</w:t>
            </w:r>
          </w:p>
        </w:tc>
        <w:tc>
          <w:tcPr>
            <w:tcW w:w="2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sz w:val="24"/>
              </w:rPr>
            </w:pPr>
            <w:r>
              <w:rPr>
                <w:sz w:val="24"/>
              </w:rPr>
              <w:t>1万元</w:t>
            </w:r>
          </w:p>
        </w:tc>
      </w:tr>
      <w:tr>
        <w:trPr>
          <w:trHeight w:val="690" w:hRule="atLeast"/>
        </w:trPr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  <w:t>√</w:t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sz w:val="24"/>
              </w:rPr>
            </w:pPr>
            <w:r>
              <w:rPr>
                <w:sz w:val="24"/>
              </w:rPr>
              <w:t>运行维护费经费来源（卡号）</w:t>
            </w:r>
          </w:p>
        </w:tc>
        <w:tc>
          <w:tcPr>
            <w:tcW w:w="2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sz w:val="24"/>
              </w:rPr>
            </w:pPr>
            <w:r>
              <w:rPr>
                <w:sz w:val="24"/>
              </w:rPr>
              <w:t>0621-Z0332002</w:t>
            </w:r>
          </w:p>
        </w:tc>
      </w:tr>
      <w:tr>
        <w:trPr>
          <w:trHeight w:val="1148" w:hRule="atLeast"/>
        </w:trPr>
        <w:tc>
          <w:tcPr>
            <w:tcW w:w="445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sz w:val="24"/>
              </w:rPr>
            </w:pPr>
            <w:r>
              <w:rPr>
                <w:sz w:val="24"/>
              </w:rPr>
              <w:t>经费卡号：0621-Z0332002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其它运行维护保障条件</w:t>
            </w:r>
          </w:p>
        </w:tc>
        <w:tc>
          <w:tcPr>
            <w:tcW w:w="2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sz w:val="24"/>
              </w:rPr>
            </w:pPr>
            <w:r>
              <w:rPr>
                <w:sz w:val="24"/>
              </w:rPr>
              <w:t>无</w:t>
            </w:r>
          </w:p>
        </w:tc>
      </w:tr>
      <w:tr>
        <w:trPr/>
        <w:tc>
          <w:tcPr>
            <w:tcW w:w="909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本单位贵重仪器设备管理方式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（单价40万元以上设备填写）</w:t>
            </w:r>
          </w:p>
        </w:tc>
      </w:tr>
      <w:tr>
        <w:trPr>
          <w:trHeight w:val="2602" w:hRule="atLeast"/>
        </w:trPr>
        <w:tc>
          <w:tcPr>
            <w:tcW w:w="909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start"/>
              <w:rPr>
                <w:sz w:val="24"/>
              </w:rPr>
            </w:pPr>
            <w:r>
              <w:rPr>
                <w:sz w:val="24"/>
              </w:rPr>
              <w:t>将有专门工程师跟踪设备状态维护，且与设备相关课题组的专任老师及工程师均需参与设备管理和维护。该仪器今后将纳入学校贵重仪器共享信息平台，同时对校内外开放。</w:t>
            </w:r>
          </w:p>
          <w:p>
            <w:pPr>
              <w:pStyle w:val="Normal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tbl>
      <w:tblPr>
        <w:tblW w:w="89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1"/>
        <w:gridCol w:w="1126"/>
        <w:gridCol w:w="718"/>
        <w:gridCol w:w="493"/>
        <w:gridCol w:w="606"/>
        <w:gridCol w:w="396"/>
        <w:gridCol w:w="787"/>
        <w:gridCol w:w="992"/>
        <w:gridCol w:w="284"/>
        <w:gridCol w:w="850"/>
        <w:gridCol w:w="142"/>
        <w:gridCol w:w="1634"/>
      </w:tblGrid>
      <w:tr>
        <w:trPr>
          <w:cantSplit w:val="true"/>
        </w:trPr>
        <w:tc>
          <w:tcPr>
            <w:tcW w:w="9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仪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器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预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计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有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效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使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用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机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时</w:t>
            </w:r>
          </w:p>
        </w:tc>
        <w:tc>
          <w:tcPr>
            <w:tcW w:w="1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实验课名称</w:t>
            </w:r>
          </w:p>
        </w:tc>
        <w:tc>
          <w:tcPr>
            <w:tcW w:w="12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sz w:val="24"/>
              </w:rPr>
            </w:pPr>
            <w:r>
              <w:rPr>
                <w:sz w:val="24"/>
              </w:rPr>
              <w:t>实验项目</w:t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学生数</w:t>
            </w:r>
          </w:p>
        </w:tc>
        <w:tc>
          <w:tcPr>
            <w:tcW w:w="177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周使用机时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开机周数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年机时数（1）</w:t>
            </w:r>
          </w:p>
        </w:tc>
      </w:tr>
      <w:tr>
        <w:trPr>
          <w:trHeight w:val="2090" w:hRule="atLeast"/>
          <w:cantSplit w:val="true"/>
        </w:trPr>
        <w:tc>
          <w:tcPr>
            <w:tcW w:w="9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7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429" w:hRule="atLeast"/>
          <w:cantSplit w:val="true"/>
        </w:trPr>
        <w:tc>
          <w:tcPr>
            <w:tcW w:w="9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科研课题名称</w:t>
            </w:r>
          </w:p>
        </w:tc>
        <w:tc>
          <w:tcPr>
            <w:tcW w:w="10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年机时数（2）</w:t>
            </w:r>
          </w:p>
        </w:tc>
        <w:tc>
          <w:tcPr>
            <w:tcW w:w="11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社会服务项目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40" w:start="240" w:end="0"/>
              <w:rPr>
                <w:sz w:val="24"/>
              </w:rPr>
            </w:pPr>
            <w:r>
              <w:rPr>
                <w:sz w:val="24"/>
              </w:rPr>
              <w:t>年机时数（3）</w:t>
            </w:r>
          </w:p>
        </w:tc>
        <w:tc>
          <w:tcPr>
            <w:tcW w:w="26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年总机时数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(1)+(2)+(3)</w:t>
            </w:r>
          </w:p>
        </w:tc>
      </w:tr>
      <w:tr>
        <w:trPr>
          <w:trHeight w:val="2328" w:hRule="atLeast"/>
          <w:cantSplit w:val="true"/>
        </w:trPr>
        <w:tc>
          <w:tcPr>
            <w:tcW w:w="9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三维集成的研制</w:t>
            </w:r>
          </w:p>
        </w:tc>
        <w:tc>
          <w:tcPr>
            <w:tcW w:w="10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500</w:t>
            </w:r>
          </w:p>
        </w:tc>
        <w:tc>
          <w:tcPr>
            <w:tcW w:w="11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sz w:val="24"/>
              </w:rPr>
              <w:t>校内、校外其它课题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300</w:t>
            </w:r>
          </w:p>
        </w:tc>
        <w:tc>
          <w:tcPr>
            <w:tcW w:w="26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800</w:t>
            </w:r>
          </w:p>
        </w:tc>
      </w:tr>
      <w:tr>
        <w:trPr>
          <w:cantSplit w:val="true"/>
        </w:trPr>
        <w:tc>
          <w:tcPr>
            <w:tcW w:w="9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使用条件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管理人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姓名职称（至少两人）</w:t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安装场所</w:t>
            </w:r>
          </w:p>
        </w:tc>
        <w:tc>
          <w:tcPr>
            <w:tcW w:w="10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安装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条件</w:t>
            </w:r>
          </w:p>
        </w:tc>
        <w:tc>
          <w:tcPr>
            <w:tcW w:w="11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水电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用量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环境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保护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维修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条件</w:t>
            </w:r>
          </w:p>
        </w:tc>
        <w:tc>
          <w:tcPr>
            <w:tcW w:w="17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零配件来源</w:t>
            </w:r>
          </w:p>
        </w:tc>
      </w:tr>
      <w:tr>
        <w:trPr>
          <w:trHeight w:val="1444" w:hRule="atLeast"/>
          <w:cantSplit w:val="true"/>
        </w:trPr>
        <w:tc>
          <w:tcPr>
            <w:tcW w:w="9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负责人：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副教授</w:t>
            </w:r>
          </w:p>
        </w:tc>
        <w:tc>
          <w:tcPr>
            <w:tcW w:w="7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能源材料大楼1号楼</w:t>
            </w:r>
          </w:p>
        </w:tc>
        <w:tc>
          <w:tcPr>
            <w:tcW w:w="1099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4"/>
              </w:rPr>
              <w:t>220V交流电</w:t>
            </w:r>
          </w:p>
        </w:tc>
        <w:tc>
          <w:tcPr>
            <w:tcW w:w="1183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用水：无</w:t>
            </w:r>
          </w:p>
          <w:p>
            <w:pPr>
              <w:pStyle w:val="Normal"/>
              <w:jc w:val="center"/>
              <w:rPr/>
            </w:pPr>
            <w:r>
              <w:rPr>
                <w:sz w:val="24"/>
              </w:rPr>
              <w:t>用电：年用电量约为1000度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静电防护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一年保修</w:t>
            </w:r>
          </w:p>
        </w:tc>
        <w:tc>
          <w:tcPr>
            <w:tcW w:w="1776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原厂</w:t>
            </w:r>
          </w:p>
        </w:tc>
      </w:tr>
      <w:tr>
        <w:trPr>
          <w:trHeight w:val="1937" w:hRule="atLeast"/>
          <w:cantSplit w:val="true"/>
        </w:trPr>
        <w:tc>
          <w:tcPr>
            <w:tcW w:w="9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管理人：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工程师</w:t>
            </w:r>
          </w:p>
          <w:p>
            <w:pPr>
              <w:pStyle w:val="Normal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7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109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83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7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tbl>
      <w:tblPr>
        <w:tblW w:w="8982" w:type="dxa"/>
        <w:jc w:val="start"/>
        <w:tblInd w:w="54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5"/>
        <w:gridCol w:w="5007"/>
      </w:tblGrid>
      <w:tr>
        <w:trPr>
          <w:trHeight w:val="1374" w:hRule="atLeast"/>
        </w:trPr>
        <w:tc>
          <w:tcPr>
            <w:tcW w:w="89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本省或国内有关单位同类设备调研情况: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四探针电阻率测试仪市场调研（三家）</w:t>
            </w:r>
          </w:p>
          <w:p>
            <w:pPr>
              <w:pStyle w:val="Normal"/>
              <w:jc w:val="start"/>
            </w:pPr>
            <w:r>
              <w:rPr>
                <w:color w:val="000000"/>
                <w:sz w:val="22"/>
                <w:szCs w:val="22"/>
              </w:rPr>
              <w:t xml:space="preserve">调研对象、调研方式及结果如下：</w:t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</w:pPr>
            <w:r>
              <w:rPr>
                <w:color w:val="000000"/>
                <w:sz w:val="21"/>
                <w:szCs w:val="21"/>
              </w:rPr>
              <w:t xml:space="preserve">厦门方仪电子科技有限公司</w:t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</w:pPr>
            <w:r>
              <w:rPr>
                <w:color w:val="000000"/>
                <w:sz w:val="21"/>
                <w:szCs w:val="21"/>
              </w:rPr>
              <w:t xml:space="preserve">日本NAPSON RT-70，单价35万元；电话咨询、产品介绍，取得报价单</w:t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</w:pPr>
            <w:r>
              <w:rPr>
                <w:color w:val="000000"/>
                <w:sz w:val="21"/>
                <w:szCs w:val="21"/>
              </w:rPr>
              <w:t xml:space="preserve">上海波铭科学仪器有限公司</w:t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</w:pPr>
            <w:r>
              <w:rPr>
                <w:color w:val="000000"/>
                <w:sz w:val="21"/>
                <w:szCs w:val="21"/>
              </w:rPr>
              <w:t xml:space="preserve">美国Signatone S-302-4B，单价38万元；电话调查、产品介绍，取得报价单</w:t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</w:pPr>
            <w:r>
              <w:rPr>
                <w:color w:val="000000"/>
                <w:sz w:val="21"/>
                <w:szCs w:val="21"/>
              </w:rPr>
              <w:t xml:space="preserve">深圳市云帆兴烨科技有限公司</w:t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</w:pPr>
            <w:r>
              <w:rPr>
                <w:color w:val="000000"/>
                <w:sz w:val="21"/>
                <w:szCs w:val="21"/>
              </w:rPr>
              <w:t xml:space="preserve">日本KLA Filmetrics R50，单价55万元；电话调查、产品介绍，取得报价单</w:t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</w:pPr>
            <w:r>
              <w:rPr>
                <w:color w:val="000000"/>
                <w:sz w:val="21"/>
                <w:szCs w:val="21"/>
              </w:rPr>
              <w:t xml:space="preserve">调研结论</w:t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</w:pPr>
            <w:r>
              <w:rPr>
                <w:color w:val="000000"/>
                <w:sz w:val="21"/>
                <w:szCs w:val="21"/>
              </w:rPr>
              <w:t xml:space="preserve">综合性能、价格及售后服务，拟购置日本NAPSON RT-70</w:t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>
          <w:trHeight w:val="246" w:hRule="atLeast"/>
        </w:trPr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  <w:tr>
        <w:trPr/>
        <w:tc>
          <w:tcPr>
            <w:tcW w:w="3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  <w:tc>
          <w:tcPr>
            <w:tcW w:w="5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24"/>
                <w:sz w:val="24"/>
              </w:rPr>
            </w:pPr>
            <w:r>
              <w:rPr>
                <w:spacing w:val="24"/>
                <w:sz w:val="24"/>
              </w:rPr>
            </w:r>
          </w:p>
        </w:tc>
      </w:tr>
    </w:tbl>
    <w:p>
      <w:pPr>
        <w:pStyle w:val="Normal"/>
        <w:spacing w:lineRule="auto" w:line="360"/>
        <w:jc w:val="start"/>
        <w:rPr>
          <w:spacing w:val="24"/>
          <w:sz w:val="24"/>
        </w:rPr>
      </w:pPr>
      <w:r>
        <w:rPr>
          <w:spacing w:val="24"/>
          <w:sz w:val="24"/>
        </w:rPr>
      </w:r>
    </w:p>
    <w:p>
      <w:pPr>
        <w:pStyle w:val="Normal"/>
        <w:spacing w:lineRule="auto" w:line="360"/>
        <w:jc w:val="start"/>
        <w:rPr>
          <w:spacing w:val="24"/>
          <w:sz w:val="24"/>
        </w:rPr>
      </w:pPr>
      <w:r>
        <w:rPr>
          <w:spacing w:val="24"/>
          <w:sz w:val="24"/>
        </w:rPr>
      </w:r>
    </w:p>
    <w:p>
      <w:pPr>
        <w:pStyle w:val="Normal"/>
        <w:jc w:val="start"/>
        <w:rPr>
          <w:spacing w:val="24"/>
          <w:sz w:val="24"/>
        </w:rPr>
      </w:pPr>
      <w:r>
        <w:rPr>
          <w:spacing w:val="24"/>
          <w:sz w:val="24"/>
        </w:rPr>
      </w:r>
    </w:p>
    <w:sectPr>
      <w:footerReference w:type="default" r:id="rId6"/>
      <w:footerReference w:type="first" r:id="rId7"/>
      <w:type w:val="nextPage"/>
      <w:pgSz w:w="11906" w:h="16838"/>
      <w:pgMar w:left="1134" w:right="1134" w:gutter="0" w:header="0" w:top="1134" w:footer="992" w:bottom="1134"/>
      <w:pgNumType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9850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85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5pt;height:1.65pt;mso-wrap-distance-left:0pt;mso-wrap-distance-right:0pt;mso-wrap-distance-top:0pt;mso-wrap-distance-bottom:0pt;margin-top:0.05pt;mso-position-vertical-relative:text;margin-left:238.7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38.7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38.7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8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yMzYztDAxA0JjUzMTUyUdpeDU4uLM/DyQAqNaAHUhpXssAAA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/>
  </w:style>
  <w:style w:type="character" w:styleId="Style14">
    <w:name w:val="默认段落字体"/>
    <w:qFormat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character" w:styleId="Style16">
    <w:name w:val="批注框文本 字符"/>
    <w:qFormat/>
    <w:rPr>
      <w:kern w:val="2"/>
      <w:sz w:val="18"/>
      <w:szCs w:val="18"/>
    </w:rPr>
  </w:style>
  <w:style w:type="character" w:styleId="Style17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2021-04-28T03:50:00Z</dcterms:created>
  <dc:creator>pdm</dc:creator>
  <dc:description/>
  <cp:keywords/>
  <dc:language>en-US</dc:language>
  <cp:lastModifiedBy>ZhongY</cp:lastModifiedBy>
  <cp:lastPrinted>2021-05-08T16:05:00Z</cp:lastPrinted>
  <dcterms:modified xsi:type="dcterms:W3CDTF">2026-10-13T02:21:00Z</dcterms:modified>
  <cp:revision>6</cp:revision>
  <dc:subject/>
  <dc:title>采购卡片编号：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2052-11.1.0.8661</vt:lpwstr>
  </property>
</Properties>
</file>