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376"/>
      </w:tblGrid>
      <w:tr>
        <w:tc>
          <w:tcPr>
            <w:tcW w:type="dxa" w:w="6984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245FBE"/>
          </w:tcPr>
          <w:p>
            <w:pPr>
              <w:spacing w:after="40"/>
            </w:pPr>
            <w:r>
              <w:rPr>
                <w:rFonts w:ascii="Tahoma" w:hAnsi="Tahoma" w:eastAsia="Tahoma" w:cs="Tahoma"/>
                <w:b/>
                <w:color w:val="FFFFFF"/>
                <w:sz w:val="36"/>
                <w:szCs w:val="36"/>
              </w:rPr>
              <w:t>ข้อตกลงการรักษาความลับ (NDA)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  <w:t>แม่แบบกำหนดขอบเขตข้อมูลลับ การใช้ข้อมูล และการคืนหรือทำลายข้อมูล</w:t>
            </w: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</w:r>
          </w:p>
        </w:tc>
        <w:tc>
          <w:tcPr>
            <w:tcW w:type="dxa" w:w="2376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73252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EF9A52"/>
                <w:sz w:val="28"/>
                <w:szCs w:val="28"/>
              </w:rPr>
              <w:t>DRAFT</w:t>
              <w:br/>
            </w:r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รหัส LEGAL-NDA-001</w:t>
              <w:br/>
              <w:t>เวอร์ชัน [[VERSION]]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E8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คำเตือนก่อนนำไปใช้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เอกสารนี้เป็นแม่แบบทั่วไป ไม่ใช่คำปรึกษากฎหมาย กรุณาให้ HR และที่ปรึกษากฎหมายตรวจความถูกต้อง ปรับให้ตรงกับข้อเท็จจริง นโยบายบริษัท และกฎหมายที่ใช้บังคับก่อนลงนามหรือออกเอกสารจริง</w:t>
            </w:r>
          </w:p>
        </w:tc>
      </w:tr>
    </w:tbl>
    <w:p>
      <w:pPr>
        <w:pStyle w:val="Heading1"/>
      </w:pPr>
      <w:r>
        <w:t>ข้อมูลคู่สัญญา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ผู้เปิดเผย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[[DISCLOSING_PARTY]]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ผู้รับข้อมูล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[[RECEIVING_PARTY]]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วัตถุประสงค์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[[PERMITTED_PURPOSE]]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วันที่มีผล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[[EFFECTIVE_DATE]]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ระยะเวลา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[[AGREEMENT_TERM]]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โครงการ/งาน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[[PROJECT_NAME]]</w:t>
            </w:r>
          </w:p>
        </w:tc>
      </w:tr>
    </w:tbl>
    <w:p>
      <w:pPr>
        <w:spacing w:after="0"/>
      </w:pPr>
    </w:p>
    <w:p>
      <w:pPr>
        <w:pStyle w:val="Heading2"/>
      </w:pPr>
      <w:r>
        <w:t>1. ข้อมูลที่ได้รับการคุ้มครอง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“ข้อมูลลับ” หมายถึงข้อมูลที่ระบุว่าเป็นความลับหรือควรเข้าใจโดยสมเหตุสมผลว่าเป็นความลับ รวมถึงข้อมูลธุรกิจ ลูกค้า ราคา สูตร กระบวนการ ระบบ รหัสผ่าน แผนงาน และข้อมูลส่วนบุคคลที่เปิดเผยเพื่อวัตถุประสงค์ที่กำหนด.</w:t>
      </w:r>
    </w:p>
    <w:p>
      <w:pPr>
        <w:pStyle w:val="Heading2"/>
      </w:pPr>
      <w:r>
        <w:t>2. ข้อยกเว้น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ข้อมูลลับไม่รวมข้อมูลที่ผู้รับพิสูจน์ได้ว่าเป็นสาธารณะโดยมิใช่ความผิดของผู้รับ มีอยู่โดยชอบก่อนรับ เปิดเผยโดยบุคคลที่มีสิทธิ หรือผู้รับพัฒนาขึ้นอย่างอิสระโดยไม่ใช้ข้อมูลลับ.</w:t>
      </w:r>
    </w:p>
    <w:p>
      <w:pPr>
        <w:pStyle w:val="Heading2"/>
      </w:pPr>
      <w:r>
        <w:t>3. หน้าที่ของผู้รับข้อมูล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ผู้รับจะใช้ข้อมูลเฉพาะวัตถุประสงค์ที่อนุญาต เปิดเผยแก่ผู้ที่จำเป็นต้องรู้และมีหน้าที่คุ้มครองเทียบเท่า ใช้มาตรการรักษาความปลอดภัยตามความเสี่ยง และแจ้งเหตุสงสัยรั่วไหลผ่าน [[INCIDENT_CHANNEL]] โดยไม่ชักช้า.</w:t>
      </w:r>
    </w:p>
    <w:p>
      <w:pPr>
        <w:pStyle w:val="Heading2"/>
      </w:pPr>
      <w:r>
        <w:t>4. การใช้ AI และบริการภายนอก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ห้ามป้อนข้อมูลลับหรือข้อมูลส่วนบุคคลลงใน AI/บริการภายนอกที่องค์กรไม่ได้อนุมัติ ต้องปกปิดข้อมูลเท่าที่ทำได้ ใช้สิทธิ์เข้าถึงขั้นต่ำ และให้มนุษย์ตรวจผลก่อนนำไปใช้.</w:t>
      </w:r>
    </w:p>
    <w:p>
      <w:pPr>
        <w:pStyle w:val="Heading2"/>
      </w:pPr>
      <w:r>
        <w:t>5. การเปิดเผยตามกฎหมาย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หากจำเป็นต้องเปิดเผยตามกฎหมายหรือคำสั่งที่ชอบ ผู้รับจะแจ้งผู้เปิดเผยล่วงหน้าเท่าที่ทำได้ และจำกัดการเปิดเผยเฉพาะส่วนที่จำเป็น.</w:t>
      </w:r>
    </w:p>
    <w:p>
      <w:pPr>
        <w:pStyle w:val="Heading2"/>
      </w:pPr>
      <w:r>
        <w:t>6. คืน ทำลาย และเก็บรักษา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เมื่อสิ้นสุดวัตถุประสงค์หรือได้รับคำขอ ผู้รับจะคืนหรือลบข้อมูลและสำเนาตาม [[RETURN_DELETION_PROCESS]] เว้นแต่ต้องเก็บตามกฎหมาย/ระบบสำรองที่เข้าถึงอย่างจำกัด.</w:t>
      </w:r>
    </w:p>
    <w:p>
      <w:pPr>
        <w:pStyle w:val="Heading2"/>
      </w:pPr>
      <w:r>
        <w:t>7. ระยะเวลาคุ้มครองและการเยียวยา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หน้าที่รักษาความลับมีผลเป็นเวลา [[CONFIDENTIALITY_PERIOD]] หลังการเปิดเผยหรือสิ้นสุดความสัมพันธ์ โดยให้ที่ปรึกษากฎหมายกำหนดระยะเวลาและมาตรการเยียวยาที่เหมาะสมกับประเภทข้อมูล.</w:t>
      </w:r>
    </w:p>
    <w:p>
      <w:pPr>
        <w:pStyle w:val="Heading1"/>
      </w:pPr>
      <w:r>
        <w:t>ส่วนลงนาม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ผู้เปิดเผยข้อมูล</w:t>
              <w:br/>
              <w:t>ตำแหน่ง [[DISCLOSER_TITLE]]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ผู้รับข้อมูล</w:t>
              <w:br/>
              <w:t>ตำแหน่ง [[RECIPIENT_TITLE]]</w:t>
              <w:br/>
              <w:t>วันที่ ____ / ____ / ______</w:t>
            </w:r>
          </w:p>
        </w:tc>
      </w:tr>
    </w:tbl>
    <w:p>
      <w:pPr>
        <w:pStyle w:val="Heading1"/>
      </w:pPr>
      <w:r>
        <w:t>บันทึกการควบคุมเอกสาร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วันที่แก้ไข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รายละเอียด</w:t>
            </w:r>
          </w:p>
        </w:tc>
        <w:tc>
          <w:tcPr>
            <w:tcW w:type="dxa" w:w="2340"/>
            <w:shd w:fill="245FB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ผู้อนุมัติ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[[VERSION]]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[[REVISION_DATE]]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[[REVISION_NOTE]]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ahoma" w:hAnsi="Tahoma" w:eastAsia="Tahoma" w:cs="Tahoma"/>
                <w:b w:val="0"/>
                <w:color w:val="173252"/>
                <w:sz w:val="18"/>
                <w:szCs w:val="18"/>
              </w:rPr>
              <w:t>[[APPROVER]]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5D6B7A"/>
        <w:sz w:val="17"/>
        <w:szCs w:val="17"/>
      </w:rPr>
      <w:t>ฉบับร่างสำหรับปรับใช้ภายในองค์กร — ห้ามใช้โดยไม่ตรวจทาน</w:t>
    </w:r>
  </w:p>
  <w:p>
    <w:pPr>
      <w:jc w:val="right"/>
    </w:pPr>
    <w:r>
      <w:rPr>
        <w:rFonts w:ascii="Tahoma" w:hAnsi="Tahoma" w:eastAsia="Tahoma" w:cs="Tahoma"/>
        <w:color w:val="5D6B7A"/>
        <w:sz w:val="18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245FBE"/>
        <w:sz w:val="17"/>
        <w:szCs w:val="17"/>
      </w:rPr>
      <w:t>PEOPLE PULSE  |  เอกสารแม่แบบองค์กร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 w:cs="Tahoma"/>
      <w:color w:val="173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245F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Tahoma" w:hAnsi="Tahoma" w:eastAsia="Tahoma" w:cs="Tahoma"/>
      <w:b/>
      <w:i/>
      <w:iCs/>
      <w:color w:val="496A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ข้อตกลงการรักษาความลับ (NDA)</dc:title>
  <dc:subject>แม่แบบกำหนดขอบเขตข้อมูลลับ การใช้ข้อมูล และการคืนหรือทำลายข้อมูล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