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d</w:t>
      </w:r>
      <w:r>
        <w:rPr>
          <w:rFonts w:hint="eastAsia" w:ascii="微软雅黑" w:hAnsi="微软雅黑" w:eastAsia="微软雅黑"/>
          <w:b/>
          <w:sz w:val="32"/>
          <w:szCs w:val="32"/>
        </w:rPr>
        <w:t>创鑫项目建设工作流程搭建规范</w:t>
      </w:r>
    </w:p>
    <w:p>
      <w:pPr>
        <w:pStyle w:val="2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 流程类型设置规范：</w:t>
      </w:r>
    </w:p>
    <w:p>
      <w:pPr>
        <w:rPr>
          <w:rFonts w:hint="eastAsia"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搭建内容基于搭建大表：（含流程L1流程L2，流程类型编码，编码规则，流程名称）</w:t>
      </w:r>
    </w:p>
    <w:p>
      <w:pPr>
        <w:rPr>
          <w:rFonts w:hint="eastAsia" w:ascii="黑体" w:hAnsi="黑体" w:eastAsia="黑体"/>
          <w:szCs w:val="20"/>
        </w:rPr>
      </w:pPr>
      <w:r>
        <w:drawing>
          <wp:inline distT="0" distB="0" distL="114300" distR="114300">
            <wp:extent cx="5270500" cy="3110865"/>
            <wp:effectExtent l="0" t="0" r="6350" b="381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389380"/>
            <wp:effectExtent l="0" t="0" r="6350" b="12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1"/>
        </w:numPr>
        <w:ind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流</w:t>
      </w:r>
      <w:commentRangeStart w:id="0"/>
      <w:r>
        <w:rPr>
          <w:rFonts w:hint="eastAsia" w:ascii="微软雅黑" w:hAnsi="微软雅黑" w:eastAsia="微软雅黑"/>
          <w:b/>
          <w:bCs/>
          <w:sz w:val="21"/>
          <w:szCs w:val="21"/>
        </w:rPr>
        <w:t>程类型分类参考：</w:t>
      </w:r>
      <w:commentRangeEnd w:id="0"/>
      <w:r>
        <w:rPr>
          <w:rStyle w:val="10"/>
        </w:rPr>
        <w:commentReference w:id="0"/>
      </w:r>
    </w:p>
    <w:tbl>
      <w:tblPr>
        <w:tblStyle w:val="8"/>
        <w:tblW w:w="828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9"/>
        <w:gridCol w:w="2834"/>
        <w:gridCol w:w="305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2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 w:themeFill="accent1" w:themeFillTint="66"/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流程大类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1、AC 行政综合类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2、HR 人力资源类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3、BT/IT 管理流程与IT类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4、MA 资产管理类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5、ER 外部事务类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6、IFS 集成财经管理类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7、IPD 集成产品开发类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8、ISC 集成供应链类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9、LTC 线索到回款类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10、ITR 问题到解决类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11、R/C 管理风险/合规类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13"/>
              <w:ind w:left="360" w:firstLine="0" w:firstLineChars="0"/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</w:pPr>
          </w:p>
        </w:tc>
      </w:tr>
    </w:tbl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3940"/>
        <w:gridCol w:w="38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27ACB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2312" w:type="pc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227AC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流程L1级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27AC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流程L2级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2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AC 行政综合</w:t>
            </w:r>
          </w:p>
        </w:tc>
        <w:tc>
          <w:tcPr>
            <w:tcW w:w="22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差旅服务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2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3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后勤服务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2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3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安保管理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2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3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办公用品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2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3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基建工程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2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3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综合管理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312" w:type="pct"/>
            <w:vMerge w:val="restar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BT/IT 管理流程与IT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IT产品管理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IT服务管理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业务流程管理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31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ER 外部事务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法务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证照管理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31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IFS 集成财经管理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预算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资金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应收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应付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费用管理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财务运作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31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IPD 集成产品开发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产品规划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产品/技术 立项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产品/技术 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产品/技术 验证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产品/技术 发布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工程管理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BOM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知识产权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31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HR 人力资源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组织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人才供应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人才发展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薪酬绩效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员工关系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基础人事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30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31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ISC 集成供应链</w:t>
            </w: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采购（需求管理）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采购（价格管理）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采购（订单管理）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采购（供应商管理）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智造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仓储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物流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5" w:hRule="atLeast"/>
        </w:trPr>
        <w:tc>
          <w:tcPr>
            <w:tcW w:w="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231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质量</w:t>
            </w:r>
          </w:p>
        </w:tc>
      </w:tr>
    </w:tbl>
    <w:p>
      <w:pPr>
        <w:rPr>
          <w:rFonts w:hint="eastAsia" w:ascii="微软雅黑" w:hAnsi="微软雅黑" w:eastAsia="微软雅黑"/>
          <w:b/>
          <w:bCs/>
          <w:sz w:val="21"/>
          <w:szCs w:val="21"/>
        </w:rPr>
      </w:pPr>
    </w:p>
    <w:p>
      <w:pPr>
        <w:pStyle w:val="2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 命名规范：</w:t>
      </w:r>
    </w:p>
    <w:p>
      <w:pPr>
        <w:rPr>
          <w:rFonts w:hint="eastAsia" w:ascii="微软雅黑" w:hAnsi="微软雅黑" w:eastAsia="微软雅黑"/>
          <w:sz w:val="21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  <w:szCs w:val="21"/>
        </w:rPr>
        <w:t>流程起名规范：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流程编码+流程名称</w:t>
      </w:r>
      <w:r>
        <w:rPr>
          <w:rFonts w:hint="eastAsia" w:ascii="微软雅黑" w:hAnsi="微软雅黑" w:eastAsia="微软雅黑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sz w:val="18"/>
          <w:szCs w:val="18"/>
        </w:rPr>
        <w:t>例如：IPD101 外部产品需求申请流程</w:t>
      </w:r>
      <w:r>
        <w:drawing>
          <wp:inline distT="0" distB="0" distL="114300" distR="114300">
            <wp:extent cx="4143375" cy="904875"/>
            <wp:effectExtent l="0" t="0" r="0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流程表单起名规范：</w:t>
      </w:r>
    </w:p>
    <w:p>
      <w:pPr>
        <w:pStyle w:val="13"/>
        <w:ind w:left="360" w:firstLine="0"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表单名称：《</w:t>
      </w:r>
      <w:r>
        <w:rPr>
          <w:rFonts w:ascii="微软雅黑" w:hAnsi="微软雅黑" w:eastAsia="微软雅黑"/>
          <w:sz w:val="18"/>
          <w:szCs w:val="18"/>
        </w:rPr>
        <w:t>AC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5</w:t>
      </w:r>
      <w:r>
        <w:rPr>
          <w:rFonts w:ascii="微软雅黑" w:hAnsi="微软雅黑" w:eastAsia="微软雅黑"/>
          <w:sz w:val="18"/>
          <w:szCs w:val="18"/>
        </w:rPr>
        <w:t>0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办公用品申请</w:t>
      </w:r>
      <w:r>
        <w:rPr>
          <w:rFonts w:hint="eastAsia" w:ascii="微软雅黑" w:hAnsi="微软雅黑" w:eastAsia="微软雅黑"/>
          <w:sz w:val="18"/>
          <w:szCs w:val="18"/>
        </w:rPr>
        <w:t>》流程，表单名称为《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办公用品</w:t>
      </w:r>
      <w:r>
        <w:rPr>
          <w:rFonts w:ascii="微软雅黑" w:hAnsi="微软雅黑" w:eastAsia="微软雅黑"/>
          <w:sz w:val="18"/>
          <w:szCs w:val="18"/>
        </w:rPr>
        <w:t>申请</w:t>
      </w:r>
      <w:r>
        <w:rPr>
          <w:rFonts w:hint="eastAsia" w:ascii="微软雅黑" w:hAnsi="微软雅黑" w:eastAsia="微软雅黑"/>
          <w:sz w:val="18"/>
          <w:szCs w:val="18"/>
        </w:rPr>
        <w:t>单》，以搭建实施方案为准，</w:t>
      </w:r>
    </w:p>
    <w:p>
      <w:pPr>
        <w:pStyle w:val="13"/>
        <w:ind w:left="360" w:firstLine="0" w:firstLineChars="0"/>
        <w:rPr>
          <w:rFonts w:ascii="微软雅黑" w:hAnsi="微软雅黑" w:eastAsia="微软雅黑"/>
          <w:sz w:val="18"/>
          <w:szCs w:val="18"/>
        </w:rPr>
      </w:pPr>
      <w:r>
        <w:drawing>
          <wp:inline distT="0" distB="0" distL="114300" distR="114300">
            <wp:extent cx="5266690" cy="2406015"/>
            <wp:effectExtent l="0" t="0" r="635" b="381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EE0000"/>
          <w:sz w:val="18"/>
          <w:szCs w:val="18"/>
          <w:lang w:val="en-US" w:eastAsia="zh-CN"/>
        </w:rPr>
        <w:t>注意：</w:t>
      </w:r>
      <w:r>
        <w:rPr>
          <w:rFonts w:hint="eastAsia" w:ascii="微软雅黑" w:hAnsi="微软雅黑" w:eastAsia="微软雅黑"/>
          <w:b/>
          <w:bCs/>
          <w:color w:val="EE0000"/>
          <w:sz w:val="18"/>
          <w:szCs w:val="18"/>
        </w:rPr>
        <w:t>流程标题，流程编号用系统字段，不需手动创建自定义字段。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br w:type="textWrapping"/>
      </w:r>
    </w:p>
    <w:p>
      <w:pPr>
        <w:pStyle w:val="13"/>
        <w:numPr>
          <w:ilvl w:val="0"/>
          <w:numId w:val="1"/>
        </w:numPr>
        <w:ind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表单字段命名规范：</w:t>
      </w:r>
    </w:p>
    <w:p>
      <w:pPr>
        <w:snapToGrid w:val="0"/>
        <w:ind w:firstLine="360" w:firstLineChars="20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标准字段命名规范按照实际业务表格字段内容命名，在系统表单字段命名时，统一使用字段名的第一个字母表示。</w:t>
      </w:r>
    </w:p>
    <w:p>
      <w:pPr>
        <w:pStyle w:val="13"/>
        <w:numPr>
          <w:ilvl w:val="0"/>
          <w:numId w:val="2"/>
        </w:numPr>
        <w:snapToGrid w:val="0"/>
        <w:ind w:firstLineChars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18"/>
          <w:szCs w:val="18"/>
        </w:rPr>
        <w:t>当出现重复名称时，在字段后跟01、02……不断向后追加；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例如：</w:t>
      </w:r>
      <w:r>
        <w:drawing>
          <wp:inline distT="0" distB="0" distL="0" distR="0">
            <wp:extent cx="5274310" cy="2251710"/>
            <wp:effectExtent l="0" t="0" r="2540" b="0"/>
            <wp:docPr id="103605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960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PS：申请单位字段必须为“sqdw”,不允许修改数据库字段名称</w:t>
      </w:r>
      <w:r>
        <w:rPr>
          <w:rFonts w:hint="eastAsia" w:ascii="微软雅黑" w:hAnsi="微软雅黑" w:eastAsia="微软雅黑"/>
          <w:color w:val="FF0000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/>
          <w:color w:val="FF0000"/>
          <w:sz w:val="18"/>
          <w:szCs w:val="18"/>
          <w:lang w:val="en-US" w:eastAsia="zh-CN"/>
        </w:rPr>
        <w:t>历史表单中的单据编码修改成流程编码！</w:t>
      </w:r>
    </w:p>
    <w:p>
      <w:pPr>
        <w:snapToGrid w:val="0"/>
        <w:ind w:firstLine="420" w:firstLineChars="200"/>
        <w:rPr>
          <w:rFonts w:hint="eastAsia" w:ascii="微软雅黑" w:hAnsi="微软雅黑" w:eastAsia="微软雅黑"/>
          <w:sz w:val="21"/>
          <w:szCs w:val="21"/>
        </w:rPr>
      </w:pPr>
    </w:p>
    <w:p>
      <w:pPr>
        <w:pStyle w:val="13"/>
        <w:numPr>
          <w:ilvl w:val="0"/>
          <w:numId w:val="1"/>
        </w:numPr>
        <w:snapToGrid w:val="0"/>
        <w:ind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流程节点名称规范：</w:t>
      </w:r>
    </w:p>
    <w:p>
      <w:pPr>
        <w:pStyle w:val="13"/>
        <w:snapToGrid w:val="0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开始节点</w:t>
      </w:r>
      <w:r>
        <w:rPr>
          <w:rFonts w:hint="eastAsia" w:ascii="微软雅黑" w:hAnsi="微软雅黑" w:eastAsia="微软雅黑"/>
          <w:sz w:val="21"/>
          <w:szCs w:val="21"/>
        </w:rPr>
        <w:t>：XXX</w:t>
      </w:r>
      <w:r>
        <w:rPr>
          <w:rFonts w:hint="eastAsia" w:ascii="微软雅黑" w:hAnsi="微软雅黑" w:eastAsia="微软雅黑"/>
          <w:color w:val="00B050"/>
          <w:sz w:val="21"/>
          <w:szCs w:val="21"/>
        </w:rPr>
        <w:t>发起</w:t>
      </w:r>
      <w:r>
        <w:rPr>
          <w:rFonts w:hint="eastAsia" w:ascii="微软雅黑" w:hAnsi="微软雅黑" w:eastAsia="微软雅黑"/>
          <w:sz w:val="21"/>
          <w:szCs w:val="21"/>
        </w:rPr>
        <w:t>；</w:t>
      </w:r>
      <w:r>
        <w:rPr>
          <w:rFonts w:hint="eastAsia" w:ascii="微软雅黑" w:hAnsi="微软雅黑" w:eastAsia="微软雅黑"/>
          <w:b/>
          <w:sz w:val="21"/>
          <w:szCs w:val="21"/>
        </w:rPr>
        <w:t>中间节点</w:t>
      </w:r>
      <w:r>
        <w:rPr>
          <w:rFonts w:hint="eastAsia" w:ascii="微软雅黑" w:hAnsi="微软雅黑" w:eastAsia="微软雅黑"/>
          <w:sz w:val="21"/>
          <w:szCs w:val="21"/>
        </w:rPr>
        <w:t>： XXX审核；</w:t>
      </w:r>
      <w:r>
        <w:rPr>
          <w:rFonts w:ascii="微软雅黑" w:hAnsi="微软雅黑" w:eastAsia="微软雅黑"/>
          <w:b/>
          <w:bCs/>
        </w:rPr>
        <w:t>中间节点</w:t>
      </w:r>
      <w:r>
        <w:rPr>
          <w:rFonts w:hint="eastAsia" w:ascii="微软雅黑" w:hAnsi="微软雅黑" w:eastAsia="微软雅黑"/>
          <w:b/>
          <w:bCs/>
        </w:rPr>
        <w:t>有直接结束则</w:t>
      </w:r>
      <w:r>
        <w:rPr>
          <w:rFonts w:ascii="微软雅黑" w:hAnsi="微软雅黑" w:eastAsia="微软雅黑"/>
        </w:rPr>
        <w:t>：XXX 审批</w:t>
      </w:r>
      <w:r>
        <w:rPr>
          <w:rFonts w:hint="eastAsia" w:ascii="微软雅黑" w:hAnsi="微软雅黑" w:eastAsia="微软雅黑"/>
        </w:rPr>
        <w:t>；</w:t>
      </w:r>
      <w:r>
        <w:rPr>
          <w:rFonts w:hint="eastAsia" w:ascii="微软雅黑" w:hAnsi="微软雅黑" w:eastAsia="微软雅黑"/>
          <w:b/>
          <w:sz w:val="21"/>
          <w:szCs w:val="21"/>
        </w:rPr>
        <w:t>结束节点</w:t>
      </w:r>
      <w:r>
        <w:rPr>
          <w:rFonts w:hint="eastAsia" w:ascii="微软雅黑" w:hAnsi="微软雅黑" w:eastAsia="微软雅黑"/>
          <w:sz w:val="21"/>
          <w:szCs w:val="21"/>
        </w:rPr>
        <w:t>：</w:t>
      </w:r>
      <w:r>
        <w:rPr>
          <w:rFonts w:hint="eastAsia" w:ascii="微软雅黑" w:hAnsi="微软雅黑" w:eastAsia="微软雅黑"/>
          <w:color w:val="7030A0"/>
          <w:sz w:val="21"/>
          <w:szCs w:val="21"/>
        </w:rPr>
        <w:t>归档</w:t>
      </w:r>
      <w:r>
        <w:rPr>
          <w:rFonts w:hint="eastAsia" w:ascii="微软雅黑" w:hAnsi="微软雅黑" w:eastAsia="微软雅黑"/>
          <w:sz w:val="21"/>
          <w:szCs w:val="21"/>
        </w:rPr>
        <w:t>；</w:t>
      </w:r>
    </w:p>
    <w:p>
      <w:pPr>
        <w:snapToGrid w:val="0"/>
        <w:ind w:firstLine="420"/>
      </w:pPr>
      <w:r>
        <w:rPr>
          <w:rFonts w:hint="eastAsia"/>
        </w:rPr>
        <w:t>例如：</w:t>
      </w:r>
    </w:p>
    <w:p>
      <w:pPr>
        <w:snapToGrid w:val="0"/>
        <w:ind w:firstLine="42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drawing>
          <wp:inline distT="0" distB="0" distL="114300" distR="114300">
            <wp:extent cx="3538855" cy="3220085"/>
            <wp:effectExtent l="0" t="0" r="4445" b="18415"/>
            <wp:docPr id="3" name="图片 3" descr="企业微信截图_17574031666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企业微信截图_175740316663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1"/>
        </w:numPr>
        <w:snapToGrid w:val="0"/>
        <w:ind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流程节点</w:t>
      </w:r>
      <w:r>
        <w:rPr>
          <w:rFonts w:hint="eastAsia" w:ascii="微软雅黑" w:hAnsi="微软雅黑" w:eastAsia="微软雅黑"/>
          <w:b/>
          <w:bCs/>
          <w:sz w:val="21"/>
          <w:szCs w:val="21"/>
          <w:lang w:val="en-US" w:eastAsia="zh-CN"/>
        </w:rPr>
        <w:t>顺序规范</w:t>
      </w:r>
      <w:r>
        <w:rPr>
          <w:rFonts w:hint="eastAsia" w:ascii="微软雅黑" w:hAnsi="微软雅黑" w:eastAsia="微软雅黑"/>
          <w:b/>
          <w:bCs/>
          <w:sz w:val="21"/>
          <w:szCs w:val="21"/>
        </w:rPr>
        <w:t>：</w:t>
      </w:r>
    </w:p>
    <w:p>
      <w:pPr>
        <w:snapToGrid w:val="0"/>
        <w:ind w:firstLine="420"/>
        <w:rPr>
          <w:rFonts w:hint="eastAsia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>发起节点为第一顺序，所有的审核节点为第二顺序（多个可以不管具体排序），审批节点为第三顺序，结束为最后顺序。</w:t>
      </w:r>
    </w:p>
    <w:p>
      <w:pPr>
        <w:snapToGrid w:val="0"/>
        <w:ind w:firstLine="420"/>
        <w:rPr>
          <w:rFonts w:hint="default" w:ascii="微软雅黑" w:hAnsi="微软雅黑" w:eastAsia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3432175"/>
            <wp:effectExtent l="0" t="0" r="698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1"/>
        </w:numPr>
        <w:snapToGrid w:val="0"/>
        <w:ind w:firstLineChars="0"/>
        <w:rPr>
          <w:rFonts w:hint="eastAsia" w:ascii="微软雅黑" w:hAnsi="微软雅黑" w:eastAsia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出口名称与目标节点保持一致</w:t>
      </w:r>
    </w:p>
    <w:p>
      <w:pPr>
        <w:pStyle w:val="13"/>
        <w:snapToGrid w:val="0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18"/>
          <w:szCs w:val="18"/>
        </w:rPr>
        <w:t>在出口设置时，当“源节点”向“目标节点”流转时，出口名称：采用出口自动填充</w:t>
      </w:r>
      <w:r>
        <w:rPr>
          <w:rFonts w:ascii="微软雅黑" w:hAnsi="微软雅黑" w:eastAsia="微软雅黑"/>
          <w:sz w:val="18"/>
          <w:szCs w:val="18"/>
        </w:rPr>
        <w:br w:type="textWrapping"/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注意：若目标节点选择错误，需要修改，出口名称是不会自动修改的，需要再次操作自动填充</w:t>
      </w:r>
    </w:p>
    <w:p>
      <w:pPr>
        <w:pStyle w:val="13"/>
        <w:snapToGrid w:val="0"/>
        <w:ind w:left="360" w:firstLine="0" w:firstLineChars="0"/>
        <w:rPr>
          <w:rFonts w:ascii="宋体" w:hAnsi="宋体"/>
          <w:szCs w:val="20"/>
        </w:rPr>
      </w:pPr>
      <w:r>
        <w:drawing>
          <wp:inline distT="0" distB="0" distL="114300" distR="114300">
            <wp:extent cx="5269230" cy="1059815"/>
            <wp:effectExtent l="0" t="0" r="7620" b="698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1"/>
        </w:numPr>
        <w:snapToGrid w:val="0"/>
        <w:ind w:firstLineChars="0"/>
        <w:rPr>
          <w:rFonts w:hint="eastAsia" w:ascii="微软雅黑" w:hAnsi="微软雅黑" w:eastAsia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流程出口顺序规范</w:t>
      </w:r>
    </w:p>
    <w:p>
      <w:pPr>
        <w:pStyle w:val="13"/>
        <w:snapToGrid w:val="0"/>
        <w:ind w:left="360" w:firstLine="0" w:firstLineChars="0"/>
        <w:rPr>
          <w:rFonts w:hint="eastAsia" w:ascii="微软雅黑" w:hAnsi="微软雅黑" w:eastAsia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/>
          <w:sz w:val="18"/>
          <w:szCs w:val="18"/>
        </w:rPr>
        <w:t>出口顺序按流程同一节点流转条件大小进行排序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。</w:t>
      </w:r>
    </w:p>
    <w:p>
      <w:pPr>
        <w:pStyle w:val="13"/>
        <w:snapToGrid w:val="0"/>
        <w:ind w:left="360" w:firstLine="0" w:firstLineChars="0"/>
        <w:rPr>
          <w:rFonts w:hint="eastAsia" w:ascii="宋体" w:hAnsi="宋体"/>
          <w:szCs w:val="20"/>
        </w:rPr>
      </w:pPr>
    </w:p>
    <w:p>
      <w:pPr>
        <w:jc w:val="center"/>
        <w:rPr>
          <w:rFonts w:hint="eastAsia" w:ascii="黑体" w:hAnsi="黑体" w:eastAsia="黑体"/>
          <w:sz w:val="28"/>
          <w:szCs w:val="28"/>
        </w:rPr>
      </w:pPr>
      <w:r>
        <w:drawing>
          <wp:inline distT="0" distB="0" distL="114300" distR="114300">
            <wp:extent cx="5269230" cy="3968750"/>
            <wp:effectExtent l="0" t="0" r="762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/>
          <w:sz w:val="28"/>
          <w:szCs w:val="28"/>
        </w:rPr>
      </w:pPr>
    </w:p>
    <w:p>
      <w:pPr>
        <w:rPr>
          <w:rFonts w:hint="eastAsia" w:ascii="黑体" w:hAnsi="黑体" w:eastAsia="黑体"/>
          <w:sz w:val="28"/>
          <w:szCs w:val="28"/>
        </w:rPr>
      </w:pPr>
    </w:p>
    <w:p>
      <w:pPr>
        <w:pStyle w:val="2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 流程设置规范：</w:t>
      </w:r>
    </w:p>
    <w:p>
      <w:pPr>
        <w:jc w:val="both"/>
        <w:rPr>
          <w:rFonts w:eastAsia="黑体"/>
          <w:b/>
          <w:bCs/>
          <w:sz w:val="22"/>
          <w:szCs w:val="32"/>
        </w:rPr>
      </w:pPr>
      <w:r>
        <w:rPr>
          <w:rFonts w:hint="eastAsia" w:eastAsia="黑体"/>
          <w:b/>
          <w:bCs/>
          <w:sz w:val="22"/>
          <w:szCs w:val="32"/>
        </w:rPr>
        <w:t>新建流程时，可直接用流程模板导入</w:t>
      </w:r>
    </w:p>
    <w:p>
      <w:pPr>
        <w:jc w:val="center"/>
        <w:rPr>
          <w:rFonts w:eastAsia="黑体"/>
          <w:b/>
          <w:bCs/>
          <w:sz w:val="22"/>
          <w:szCs w:val="32"/>
        </w:rPr>
      </w:pPr>
      <w:r>
        <w:drawing>
          <wp:inline distT="0" distB="0" distL="114300" distR="114300">
            <wp:extent cx="4846320" cy="2405380"/>
            <wp:effectExtent l="0" t="0" r="11430" b="139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3"/>
        </w:numPr>
        <w:ind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流程基本设置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参考以下截图中的红框所示，进行对应勾选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提醒设置：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rPr>
          <w:rFonts w:ascii="微软雅黑" w:hAnsi="微软雅黑" w:eastAsia="微软雅黑"/>
          <w:sz w:val="21"/>
          <w:szCs w:val="21"/>
        </w:rPr>
        <w:drawing>
          <wp:inline distT="0" distB="0" distL="0" distR="0">
            <wp:extent cx="5274310" cy="261747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功能设置：</w:t>
      </w:r>
    </w:p>
    <w:p>
      <w:pPr>
        <w:pStyle w:val="13"/>
        <w:ind w:left="360" w:firstLine="0" w:firstLineChars="0"/>
        <w:rPr>
          <w:rFonts w:ascii="微软雅黑" w:hAnsi="微软雅黑" w:eastAsia="微软雅黑"/>
          <w:sz w:val="21"/>
          <w:szCs w:val="21"/>
        </w:rPr>
      </w:pPr>
      <w:r>
        <w:rPr>
          <w:rFonts w:ascii="微软雅黑" w:hAnsi="微软雅黑" w:eastAsia="微软雅黑"/>
          <w:sz w:val="21"/>
          <w:szCs w:val="21"/>
        </w:rPr>
        <w:drawing>
          <wp:inline distT="0" distB="0" distL="0" distR="0">
            <wp:extent cx="4413885" cy="1232535"/>
            <wp:effectExtent l="0" t="0" r="5715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9" b="31293"/>
                    <a:stretch>
                      <a:fillRect/>
                    </a:stretch>
                  </pic:blipFill>
                  <pic:spPr>
                    <a:xfrm>
                      <a:off x="0" y="0"/>
                      <a:ext cx="4432754" cy="123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自动处理：根据实际流程情况启用前置或后置审批，默认前置审批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drawing>
          <wp:inline distT="0" distB="0" distL="0" distR="0">
            <wp:extent cx="4238625" cy="2963545"/>
            <wp:effectExtent l="0" t="0" r="9525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5624" cy="29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</w:p>
    <w:p>
      <w:pPr>
        <w:pStyle w:val="13"/>
        <w:ind w:left="360" w:firstLine="0" w:firstLineChars="0"/>
        <w:rPr>
          <w:rStyle w:val="10"/>
        </w:rPr>
      </w:pPr>
      <w:commentRangeStart w:id="1"/>
      <w:r>
        <w:rPr>
          <w:rFonts w:hint="eastAsia" w:ascii="微软雅黑" w:hAnsi="微软雅黑" w:eastAsia="微软雅黑"/>
          <w:b/>
          <w:bCs/>
          <w:sz w:val="21"/>
          <w:szCs w:val="21"/>
        </w:rPr>
        <w:t>附件设置：</w:t>
      </w:r>
      <w:commentRangeEnd w:id="1"/>
      <w:r>
        <w:rPr>
          <w:rStyle w:val="10"/>
        </w:rPr>
        <w:commentReference w:id="1"/>
      </w:r>
    </w:p>
    <w:p>
      <w:pPr>
        <w:pStyle w:val="13"/>
        <w:ind w:left="360" w:firstLine="0" w:firstLineChars="0"/>
        <w:rPr>
          <w:rStyle w:val="10"/>
          <w:rFonts w:hint="eastAsia" w:ascii="Times New Roman" w:hAnsi="Times New Roman"/>
          <w:lang w:val="en-US" w:eastAsia="zh-CN"/>
        </w:rPr>
      </w:pPr>
      <w:r>
        <w:rPr>
          <w:rStyle w:val="10"/>
          <w:rFonts w:hint="eastAsia"/>
          <w:lang w:val="en-US" w:eastAsia="zh-CN"/>
        </w:rPr>
        <w:t>流程的附件保存目录需要和签字意见保存目录一致，文件夹命名层级在流程附件下面新建L1 ,L2，流程名称（和</w:t>
      </w:r>
      <w:r>
        <w:rPr>
          <w:rStyle w:val="10"/>
          <w:rFonts w:hint="eastAsia" w:ascii="Times New Roman" w:hAnsi="Times New Roman"/>
          <w:lang w:val="en-US" w:eastAsia="zh-CN"/>
        </w:rPr>
        <w:t>流程起名规范保持一致）</w:t>
      </w:r>
    </w:p>
    <w:p>
      <w:pPr>
        <w:pStyle w:val="13"/>
        <w:ind w:left="360" w:firstLine="0" w:firstLineChars="0"/>
        <w:rPr>
          <w:rStyle w:val="10"/>
          <w:rFonts w:hint="default" w:ascii="Times New Roman" w:hAnsi="Times New Roman"/>
          <w:lang w:val="en-US" w:eastAsia="zh-CN"/>
        </w:rPr>
      </w:pPr>
      <w:r>
        <w:drawing>
          <wp:inline distT="0" distB="0" distL="114300" distR="114300">
            <wp:extent cx="5269230" cy="2509520"/>
            <wp:effectExtent l="0" t="0" r="7620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drawing>
          <wp:inline distT="0" distB="0" distL="114300" distR="114300">
            <wp:extent cx="5264785" cy="3425825"/>
            <wp:effectExtent l="0" t="0" r="2540" b="31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drawing>
          <wp:inline distT="0" distB="0" distL="114300" distR="114300">
            <wp:extent cx="5273040" cy="4129405"/>
            <wp:effectExtent l="0" t="0" r="3810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4"/>
        </w:numPr>
        <w:ind w:firstLineChars="0"/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根据实际情况补充附件上传目录和签字意见附件上传目录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val="en-US" w:eastAsia="zh-CN"/>
        </w:rPr>
        <w:t>流程异常处理：</w:t>
      </w:r>
    </w:p>
    <w:p>
      <w:pPr>
        <w:pStyle w:val="13"/>
        <w:numPr>
          <w:numId w:val="0"/>
        </w:numPr>
        <w:ind w:left="360" w:leftChars="0"/>
        <w:rPr>
          <w:rFonts w:hint="default"/>
          <w:b/>
          <w:bCs/>
          <w:sz w:val="18"/>
          <w:szCs w:val="22"/>
          <w:lang w:val="en-US" w:eastAsia="zh-CN"/>
        </w:rPr>
      </w:pPr>
      <w:r>
        <w:rPr>
          <w:rFonts w:hint="eastAsia"/>
          <w:b/>
          <w:bCs/>
          <w:sz w:val="18"/>
          <w:szCs w:val="22"/>
          <w:lang w:val="en-US" w:eastAsia="zh-CN"/>
        </w:rPr>
        <w:t>中间审核环节都需要开启异常处理，由用户指定操作者。</w:t>
      </w:r>
    </w:p>
    <w:p>
      <w:pPr>
        <w:pStyle w:val="13"/>
        <w:numPr>
          <w:numId w:val="0"/>
        </w:numPr>
        <w:ind w:left="360" w:leftChars="0"/>
        <w:rPr>
          <w:rFonts w:hint="default"/>
          <w:b/>
          <w:bCs/>
          <w:sz w:val="18"/>
          <w:szCs w:val="22"/>
          <w:lang w:val="en-US" w:eastAsia="zh-CN"/>
        </w:rPr>
      </w:pPr>
      <w:r>
        <w:drawing>
          <wp:inline distT="0" distB="0" distL="114300" distR="114300">
            <wp:extent cx="5269230" cy="3618230"/>
            <wp:effectExtent l="0" t="0" r="7620" b="127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超时设置：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根据需求来设置，具体参考以下文件</w:t>
      </w:r>
    </w:p>
    <w:p>
      <w:pPr>
        <w:pStyle w:val="13"/>
        <w:ind w:left="360" w:firstLine="0" w:firstLineChars="0"/>
      </w:pPr>
      <w:r>
        <w:drawing>
          <wp:inline distT="0" distB="0" distL="114300" distR="114300">
            <wp:extent cx="5273675" cy="491490"/>
            <wp:effectExtent l="0" t="0" r="3175" b="381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object>
          <v:shape id="_x0000_i1040" o:spt="75" type="#_x0000_t75" style="height:65.25pt;width:72.4pt;" o:ole="t" filled="f" o:preferrelative="t" stroked="f" coordsize="21600,21600"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" ShapeID="_x0000_i1040" DrawAspect="Icon" ObjectID="_1468075725" r:id="rId25">
            <o:LockedField>false</o:LockedField>
          </o:OLEObject>
        </w:object>
      </w:r>
      <w:r>
        <w:rPr>
          <w:rFonts w:hint="eastAsia" w:eastAsia="宋体"/>
          <w:lang w:val="en-US" w:eastAsia="zh-CN"/>
        </w:rPr>
        <w:object>
          <v:shape id="_x0000_i1041" o:spt="75" type="#_x0000_t75" style="height:65.25pt;width:72.4pt;" o:ole="t" filled="f" o:preferrelative="t" stroked="f" coordsize="21600,21600"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" ShapeID="_x0000_i1041" DrawAspect="Icon" ObjectID="_1468075726" r:id="rId27">
            <o:LockedField>false</o:LockedField>
          </o:OLEObject>
        </w:objec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</w:rPr>
      </w:pPr>
      <w:r>
        <w:drawing>
          <wp:inline distT="0" distB="0" distL="114300" distR="114300">
            <wp:extent cx="5269230" cy="3928745"/>
            <wp:effectExtent l="0" t="0" r="7620" b="508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流程签字意见设置</w:t>
      </w:r>
    </w:p>
    <w:p>
      <w:pPr>
        <w:pStyle w:val="13"/>
        <w:ind w:left="360" w:firstLine="0" w:firstLineChars="0"/>
        <w:rPr>
          <w:rFonts w:hint="default" w:ascii="微软雅黑" w:hAnsi="微软雅黑" w:eastAsia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lang w:val="en-US" w:eastAsia="zh-CN"/>
        </w:rPr>
        <w:t>设置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bCs w:val="0"/>
          <w:lang w:val="en-US" w:eastAsia="zh-CN"/>
        </w:rPr>
        <w:t>退回申请、加审、减审、退回、委托、加签、干预，在操作中需要意见必填。</w:t>
      </w:r>
    </w:p>
    <w:p>
      <w:r>
        <w:drawing>
          <wp:inline distT="0" distB="0" distL="114300" distR="114300">
            <wp:extent cx="5267325" cy="3131820"/>
            <wp:effectExtent l="0" t="0" r="0" b="1905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</w:rPr>
      </w:pPr>
    </w:p>
    <w:p>
      <w:pPr>
        <w:pStyle w:val="13"/>
        <w:ind w:left="360" w:firstLine="0" w:firstLineChars="0"/>
        <w:rPr>
          <w:rFonts w:hint="eastAsia" w:ascii="微软雅黑" w:hAnsi="微软雅黑" w:eastAsia="微软雅黑"/>
          <w:b/>
          <w:bCs/>
        </w:rPr>
      </w:pPr>
    </w:p>
    <w:p>
      <w:pPr>
        <w:pStyle w:val="13"/>
        <w:ind w:left="360" w:firstLine="0" w:firstLineChars="0"/>
        <w:rPr>
          <w:b/>
          <w:bCs/>
        </w:rPr>
      </w:pPr>
      <w:r>
        <w:rPr>
          <w:rFonts w:hint="eastAsia" w:ascii="微软雅黑" w:hAnsi="微软雅黑" w:eastAsia="微软雅黑"/>
          <w:b/>
          <w:bCs/>
        </w:rPr>
        <w:t>高级设置：</w:t>
      </w:r>
    </w:p>
    <w:p>
      <w:pPr>
        <w:pStyle w:val="13"/>
        <w:ind w:left="360" w:firstLine="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根据实际场景需求设置流程撤回功能</w:t>
      </w:r>
    </w:p>
    <w:p>
      <w:pPr>
        <w:pStyle w:val="13"/>
        <w:ind w:left="360" w:firstLine="0" w:firstLineChars="0"/>
      </w:pPr>
      <w:r>
        <w:drawing>
          <wp:inline distT="0" distB="0" distL="114300" distR="114300">
            <wp:extent cx="5266055" cy="3128010"/>
            <wp:effectExtent l="0" t="0" r="1270" b="571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/>
        </w:rPr>
      </w:pPr>
      <w:r>
        <w:rPr>
          <w:rFonts w:hint="eastAsia"/>
        </w:rPr>
        <w:t>下一节点未查看时允许强制收回，下一节点查看后不允许强制收回，申请节点允许强制结束</w:t>
      </w:r>
    </w:p>
    <w:p>
      <w:pPr>
        <w:pStyle w:val="13"/>
        <w:ind w:left="360" w:firstLine="0" w:firstLineChars="0"/>
        <w:rPr>
          <w:rFonts w:hint="eastAsia"/>
        </w:rPr>
      </w:pPr>
    </w:p>
    <w:p>
      <w:pPr>
        <w:pStyle w:val="13"/>
        <w:ind w:left="360" w:firstLine="0" w:firstLineChars="0"/>
        <w:rPr>
          <w:rFonts w:hint="eastAsia"/>
        </w:rPr>
      </w:pPr>
    </w:p>
    <w:p>
      <w:pPr>
        <w:pStyle w:val="13"/>
        <w:ind w:left="36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自定义报表：</w:t>
      </w:r>
    </w:p>
    <w:p>
      <w:pPr>
        <w:pStyle w:val="13"/>
        <w:ind w:left="36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报表命名需要按层级区分，参考上面的L1,L2,流程名称命名配置，具体显示字段按需求调整。</w:t>
      </w:r>
    </w:p>
    <w:p>
      <w:pPr>
        <w:ind w:firstLine="400" w:firstLineChars="200"/>
        <w:rPr>
          <w:rFonts w:hint="eastAsia"/>
        </w:rPr>
      </w:pPr>
      <w:r>
        <w:rPr>
          <w:rFonts w:hint="eastAsia"/>
        </w:rPr>
        <w:t>建立一级菜单：流程报表 ，二级菜单：L1级 三级菜单：L2级 四级菜单：具体流程报表</w:t>
      </w:r>
    </w:p>
    <w:p>
      <w:pPr>
        <w:pStyle w:val="13"/>
        <w:ind w:left="360" w:firstLine="0" w:firstLineChars="0"/>
        <w:rPr>
          <w:rFonts w:hint="default"/>
          <w:b w:val="0"/>
          <w:bCs w:val="0"/>
          <w:lang w:val="en-US" w:eastAsia="zh-CN"/>
        </w:rPr>
      </w:pPr>
    </w:p>
    <w:p>
      <w:pPr>
        <w:pStyle w:val="13"/>
        <w:ind w:left="360" w:firstLine="0" w:firstLineChars="0"/>
        <w:rPr>
          <w:rFonts w:hint="eastAsia"/>
        </w:rPr>
      </w:pPr>
      <w:r>
        <w:drawing>
          <wp:inline distT="0" distB="0" distL="114300" distR="114300">
            <wp:extent cx="5266055" cy="4385310"/>
            <wp:effectExtent l="0" t="0" r="1270" b="571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 流程表单设置：</w:t>
      </w:r>
    </w:p>
    <w:p>
      <w:pPr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流程表单固定样式如下：</w:t>
      </w:r>
    </w:p>
    <w:p>
      <w:r>
        <w:drawing>
          <wp:inline distT="0" distB="0" distL="114300" distR="114300">
            <wp:extent cx="5266690" cy="2406015"/>
            <wp:effectExtent l="0" t="0" r="635" b="381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5"/>
        </w:numPr>
        <w:ind w:firstLineChars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表单字体：系统默认</w:t>
      </w:r>
    </w:p>
    <w:p>
      <w:pPr>
        <w:pStyle w:val="13"/>
        <w:ind w:firstLine="0" w:firstLineChars="0"/>
        <w:rPr>
          <w:rFonts w:hint="eastAsia" w:ascii="微软雅黑" w:hAnsi="微软雅黑" w:eastAsia="微软雅黑"/>
          <w:sz w:val="21"/>
          <w:szCs w:val="21"/>
        </w:rPr>
      </w:pPr>
      <w:r>
        <w:drawing>
          <wp:inline distT="0" distB="0" distL="114300" distR="114300">
            <wp:extent cx="5268595" cy="2480945"/>
            <wp:effectExtent l="0" t="0" r="8255" b="508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firstLine="0" w:firstLineChars="0"/>
        <w:rPr>
          <w:rFonts w:hint="eastAsia" w:ascii="微软雅黑" w:hAnsi="微软雅黑" w:eastAsia="微软雅黑"/>
          <w:sz w:val="21"/>
          <w:szCs w:val="21"/>
        </w:rPr>
      </w:pPr>
    </w:p>
    <w:p>
      <w:pPr>
        <w:numPr>
          <w:ilvl w:val="0"/>
          <w:numId w:val="5"/>
        </w:numP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基础信息按顺序排列：流程标题，流程编号，申请人，岗位，工号，申请单位，申请部门，申请日期。</w:t>
      </w:r>
      <w:r>
        <w:rPr>
          <w:rFonts w:hint="eastAsia" w:ascii="微软雅黑" w:hAnsi="微软雅黑" w:eastAsia="微软雅黑"/>
          <w:color w:val="FF0000"/>
          <w:sz w:val="21"/>
          <w:szCs w:val="21"/>
          <w:lang w:val="en-US" w:eastAsia="zh-CN"/>
        </w:rPr>
        <w:t>注意：申请单位数据库字段必须为“sqdw”</w:t>
      </w:r>
    </w:p>
    <w:p>
      <w:pPr>
        <w:numPr>
          <w:ilvl w:val="0"/>
          <w:numId w:val="5"/>
        </w:numP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流程标题需要显示字段填写内容，显示格式：流程名称-申请人-年月日，特殊流程可增加自定义流程标题显示。</w:t>
      </w:r>
    </w:p>
    <w:p>
      <w:pP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例如：</w:t>
      </w:r>
      <w:r>
        <w:rPr>
          <w:rFonts w:hint="eastAsia" w:ascii="微软雅黑" w:hAnsi="微软雅黑" w:eastAsia="微软雅黑"/>
          <w:sz w:val="18"/>
          <w:szCs w:val="18"/>
        </w:rPr>
        <w:t>IFS701 个人费用报销申请流程-张三-2025-09-09</w:t>
      </w:r>
    </w:p>
    <w:p>
      <w:pP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61429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流程提交完成后显示流程图</w:t>
      </w:r>
    </w:p>
    <w:p>
      <w:pPr>
        <w:rPr>
          <w:rFonts w:hint="eastAsia" w:ascii="微软雅黑" w:hAnsi="微软雅黑" w:eastAsia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868045</wp:posOffset>
                </wp:positionV>
                <wp:extent cx="2571750" cy="829310"/>
                <wp:effectExtent l="9525" t="9525" r="9525" b="1841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6965" y="5104765"/>
                          <a:ext cx="2571750" cy="8293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95pt;margin-top:68.35pt;height:65.3pt;width:202.5pt;z-index:251659264;v-text-anchor:middle;mso-width-relative:page;mso-height-relative:page;" filled="f" stroked="t" coordsize="21600,21600" o:gfxdata="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/kFsXZAAAACwEAAA8AAAAAAAAAAQAgAAAAIgAAAGRy&#10;cy9kb3ducmV2LnhtbFBLAQIUABQAAAAIAIdO4kC/axvedgIAANkEAAAOAAAAAAAAAAEAIAAAACgB&#10;AABkcnMvZTJvRG9jLnhtbFBLBQYAAAAABgAGAFkBAAAQ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34585" cy="3648710"/>
            <wp:effectExtent l="0" t="0" r="18415" b="889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五 打印模板设置：</w:t>
      </w:r>
    </w:p>
    <w:p>
      <w:pPr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打印模板与默认流程表单模板保持一致即可。</w:t>
      </w:r>
    </w:p>
    <w:p>
      <w:pPr>
        <w:rPr>
          <w:rFonts w:ascii="微软雅黑" w:hAnsi="微软雅黑" w:eastAsia="微软雅黑"/>
          <w:color w:val="FF0000"/>
          <w:sz w:val="18"/>
          <w:szCs w:val="18"/>
        </w:rPr>
      </w:pPr>
    </w:p>
    <w:p>
      <w:pPr>
        <w:rPr>
          <w:rFonts w:ascii="微软雅黑" w:hAnsi="微软雅黑" w:eastAsia="微软雅黑"/>
          <w:color w:val="FF0000"/>
          <w:sz w:val="18"/>
          <w:szCs w:val="18"/>
        </w:rPr>
      </w:pPr>
    </w:p>
    <w:p>
      <w:pPr>
        <w:rPr>
          <w:rFonts w:ascii="微软雅黑" w:hAnsi="微软雅黑" w:eastAsia="微软雅黑"/>
          <w:color w:val="FF0000"/>
          <w:sz w:val="18"/>
          <w:szCs w:val="18"/>
        </w:rPr>
      </w:pPr>
    </w:p>
    <w:p>
      <w:pPr>
        <w:pStyle w:val="13"/>
        <w:snapToGrid w:val="0"/>
        <w:ind w:left="0" w:leftChars="0" w:firstLine="0" w:firstLineChars="0"/>
        <w:rPr>
          <w:rFonts w:hint="eastAsia" w:ascii="微软雅黑" w:hAnsi="微软雅黑" w:eastAsia="微软雅黑"/>
          <w:sz w:val="21"/>
          <w:szCs w:val="21"/>
        </w:rPr>
      </w:pPr>
    </w:p>
    <w:p>
      <w:pPr>
        <w:pStyle w:val="13"/>
        <w:snapToGrid w:val="0"/>
        <w:ind w:left="760" w:firstLine="0" w:firstLineChars="0"/>
        <w:rPr>
          <w:rFonts w:hint="eastAsia" w:ascii="微软雅黑" w:hAnsi="微软雅黑" w:eastAsia="微软雅黑"/>
          <w:sz w:val="21"/>
          <w:szCs w:val="21"/>
        </w:rPr>
      </w:pPr>
    </w:p>
    <w:p>
      <w:pPr>
        <w:snapToGrid w:val="0"/>
        <w:rPr>
          <w:rFonts w:hint="eastAsia" w:ascii="微软雅黑" w:hAnsi="微软雅黑" w:eastAsia="微软雅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请相关负责人确认以上流程搭建规范和表单样式是否符合要求，确认无误请签字，如需修改请及时沟通。如果签字后流程和表单样式需要进行修改，由相关人员进行调整。</w:t>
      </w:r>
    </w:p>
    <w:p>
      <w:pPr>
        <w:pStyle w:val="13"/>
        <w:snapToGrid w:val="0"/>
        <w:spacing w:line="360" w:lineRule="auto"/>
        <w:ind w:left="760" w:firstLine="0" w:firstLineChars="0"/>
        <w:rPr>
          <w:rFonts w:hint="eastAsia" w:ascii="微软雅黑" w:hAnsi="微软雅黑" w:eastAsia="微软雅黑"/>
          <w:sz w:val="18"/>
          <w:szCs w:val="18"/>
        </w:rPr>
      </w:pPr>
    </w:p>
    <w:p>
      <w:pPr>
        <w:ind w:firstLine="200" w:firstLineChars="100"/>
        <w:rPr>
          <w:rFonts w:hint="eastAsia" w:ascii="微软雅黑" w:hAnsi="微软雅黑" w:eastAsia="微软雅黑"/>
          <w:b/>
          <w:bCs/>
        </w:rPr>
      </w:pPr>
      <w:r>
        <w:rPr>
          <w:rFonts w:hint="eastAsia"/>
        </w:rPr>
        <w:t xml:space="preserve"> 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 xml:space="preserve">客户方负责人： </w:t>
      </w:r>
      <w:r>
        <w:rPr>
          <w:rFonts w:ascii="微软雅黑" w:hAnsi="微软雅黑" w:eastAsia="微软雅黑"/>
          <w:b/>
          <w:bCs/>
        </w:rPr>
        <w:t xml:space="preserve">                                         </w:t>
      </w:r>
      <w:r>
        <w:rPr>
          <w:rFonts w:hint="eastAsia" w:ascii="微软雅黑" w:hAnsi="微软雅黑" w:eastAsia="微软雅黑"/>
          <w:b/>
          <w:bCs/>
        </w:rPr>
        <w:t>泛微审批人：</w:t>
      </w:r>
    </w:p>
    <w:p>
      <w:pPr>
        <w:ind w:firstLine="800" w:firstLineChars="400"/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 xml:space="preserve">签字日期： </w:t>
      </w:r>
      <w:r>
        <w:rPr>
          <w:rFonts w:ascii="微软雅黑" w:hAnsi="微软雅黑" w:eastAsia="微软雅黑"/>
          <w:b/>
          <w:bCs/>
        </w:rPr>
        <w:t xml:space="preserve">                                           </w:t>
      </w:r>
      <w:r>
        <w:rPr>
          <w:rFonts w:hint="eastAsia" w:ascii="微软雅黑" w:hAnsi="微软雅黑" w:eastAsia="微软雅黑"/>
          <w:b/>
          <w:bCs/>
        </w:rPr>
        <w:t>签字日期：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ei qiu" w:date="2025-10-15T19:00:00Z" w:initials="wq">
    <w:p w14:paraId="6C333A12">
      <w:pPr>
        <w:pStyle w:val="3"/>
      </w:pPr>
      <w:r>
        <w:rPr>
          <w:rFonts w:hint="eastAsia"/>
        </w:rPr>
        <w:t>加二级分类</w:t>
      </w:r>
    </w:p>
  </w:comment>
  <w:comment w:id="1" w:author="wei qiu" w:date="2025-10-15T19:03:00Z" w:initials="wq">
    <w:p w14:paraId="52724F68">
      <w:pPr>
        <w:pStyle w:val="3"/>
      </w:pPr>
      <w:r>
        <w:rPr>
          <w:rFonts w:hint="eastAsia"/>
        </w:rPr>
        <w:t>建立流程名称对应的附件目录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C333A12" w15:done="0"/>
  <w15:commentEx w15:paraId="52724F6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1763B"/>
    <w:multiLevelType w:val="multilevel"/>
    <w:tmpl w:val="0881763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456300"/>
    <w:multiLevelType w:val="multilevel"/>
    <w:tmpl w:val="40456300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2">
    <w:nsid w:val="54324E51"/>
    <w:multiLevelType w:val="multilevel"/>
    <w:tmpl w:val="54324E5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ascii="微软雅黑" w:hAnsi="微软雅黑" w:eastAsia="微软雅黑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F562B4C"/>
    <w:multiLevelType w:val="multilevel"/>
    <w:tmpl w:val="5F562B4C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4">
    <w:nsid w:val="7F372BBF"/>
    <w:multiLevelType w:val="multilevel"/>
    <w:tmpl w:val="7F372BB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ei qiu">
    <w15:presenceInfo w15:providerId="Windows Live" w15:userId="17c7ec883607e4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52"/>
    <w:rsid w:val="000148DD"/>
    <w:rsid w:val="00030EA1"/>
    <w:rsid w:val="00095111"/>
    <w:rsid w:val="00106EE8"/>
    <w:rsid w:val="00175340"/>
    <w:rsid w:val="00196776"/>
    <w:rsid w:val="001B262C"/>
    <w:rsid w:val="001B2D46"/>
    <w:rsid w:val="001C735B"/>
    <w:rsid w:val="001E4514"/>
    <w:rsid w:val="001F3157"/>
    <w:rsid w:val="002121E0"/>
    <w:rsid w:val="002A1292"/>
    <w:rsid w:val="002D3529"/>
    <w:rsid w:val="002E2DF7"/>
    <w:rsid w:val="00334B80"/>
    <w:rsid w:val="00355006"/>
    <w:rsid w:val="003F7FC0"/>
    <w:rsid w:val="00440093"/>
    <w:rsid w:val="00474E3D"/>
    <w:rsid w:val="00490411"/>
    <w:rsid w:val="004C07D9"/>
    <w:rsid w:val="004C211D"/>
    <w:rsid w:val="00574067"/>
    <w:rsid w:val="005A625B"/>
    <w:rsid w:val="005B33BB"/>
    <w:rsid w:val="005E0853"/>
    <w:rsid w:val="00644B7B"/>
    <w:rsid w:val="00645522"/>
    <w:rsid w:val="00646CD3"/>
    <w:rsid w:val="00650895"/>
    <w:rsid w:val="00670B79"/>
    <w:rsid w:val="00696676"/>
    <w:rsid w:val="006C6219"/>
    <w:rsid w:val="006F2264"/>
    <w:rsid w:val="00764D77"/>
    <w:rsid w:val="0076741A"/>
    <w:rsid w:val="0080672F"/>
    <w:rsid w:val="00831ECD"/>
    <w:rsid w:val="00835082"/>
    <w:rsid w:val="008B5387"/>
    <w:rsid w:val="008D488D"/>
    <w:rsid w:val="008F7FF8"/>
    <w:rsid w:val="00902B18"/>
    <w:rsid w:val="00935D3E"/>
    <w:rsid w:val="00936357"/>
    <w:rsid w:val="00973965"/>
    <w:rsid w:val="00A30BD2"/>
    <w:rsid w:val="00A71752"/>
    <w:rsid w:val="00AA5AC9"/>
    <w:rsid w:val="00AE743B"/>
    <w:rsid w:val="00B0022F"/>
    <w:rsid w:val="00B2601B"/>
    <w:rsid w:val="00B30720"/>
    <w:rsid w:val="00B941CA"/>
    <w:rsid w:val="00C167D7"/>
    <w:rsid w:val="00C171CA"/>
    <w:rsid w:val="00C207D6"/>
    <w:rsid w:val="00C7235E"/>
    <w:rsid w:val="00CA39CA"/>
    <w:rsid w:val="00CD3E52"/>
    <w:rsid w:val="00CE59E8"/>
    <w:rsid w:val="00D62482"/>
    <w:rsid w:val="00E515B6"/>
    <w:rsid w:val="00ED759A"/>
    <w:rsid w:val="00EF5864"/>
    <w:rsid w:val="00F35E3B"/>
    <w:rsid w:val="00F457F1"/>
    <w:rsid w:val="00F50437"/>
    <w:rsid w:val="00F56B78"/>
    <w:rsid w:val="00FB4506"/>
    <w:rsid w:val="00FD06B4"/>
    <w:rsid w:val="0D2A523C"/>
    <w:rsid w:val="112C1850"/>
    <w:rsid w:val="1A217B9D"/>
    <w:rsid w:val="20727FFD"/>
    <w:rsid w:val="2AA90A9E"/>
    <w:rsid w:val="2ADE40AB"/>
    <w:rsid w:val="2BD737BB"/>
    <w:rsid w:val="2D1D6334"/>
    <w:rsid w:val="2DBF1599"/>
    <w:rsid w:val="2DFA12FB"/>
    <w:rsid w:val="2F107C41"/>
    <w:rsid w:val="313B3D35"/>
    <w:rsid w:val="32EE219B"/>
    <w:rsid w:val="33B92B69"/>
    <w:rsid w:val="3DA0122B"/>
    <w:rsid w:val="42351C2E"/>
    <w:rsid w:val="43CE5B55"/>
    <w:rsid w:val="447A65E5"/>
    <w:rsid w:val="46101EFE"/>
    <w:rsid w:val="46B35B75"/>
    <w:rsid w:val="47AC0A26"/>
    <w:rsid w:val="4A381AF7"/>
    <w:rsid w:val="4ADC085D"/>
    <w:rsid w:val="4FC56BA9"/>
    <w:rsid w:val="51D15829"/>
    <w:rsid w:val="57563655"/>
    <w:rsid w:val="5E687C70"/>
    <w:rsid w:val="5F332BBC"/>
    <w:rsid w:val="62812164"/>
    <w:rsid w:val="63B13D50"/>
    <w:rsid w:val="64296C4C"/>
    <w:rsid w:val="663F7C22"/>
    <w:rsid w:val="69D5123D"/>
    <w:rsid w:val="6C141EE0"/>
    <w:rsid w:val="72465B5F"/>
    <w:rsid w:val="744207C1"/>
    <w:rsid w:val="75D81FFE"/>
    <w:rsid w:val="76572266"/>
    <w:rsid w:val="77F207D5"/>
    <w:rsid w:val="7B33602B"/>
    <w:rsid w:val="7C5E1319"/>
    <w:rsid w:val="7D18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eastAsia="宋体" w:cs="Times New Roman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semiHidden/>
    <w:unhideWhenUsed/>
    <w:qFormat/>
    <w:uiPriority w:val="99"/>
  </w:style>
  <w:style w:type="paragraph" w:styleId="4">
    <w:name w:val="Balloon Text"/>
    <w:basedOn w:val="1"/>
    <w:link w:val="12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标题 1 字符"/>
    <w:basedOn w:val="9"/>
    <w:link w:val="2"/>
    <w:qFormat/>
    <w:uiPriority w:val="9"/>
    <w:rPr>
      <w:rFonts w:ascii="Arial" w:hAnsi="Arial" w:eastAsia="宋体" w:cs="Times New Roman"/>
      <w:b/>
      <w:bCs/>
      <w:kern w:val="44"/>
      <w:sz w:val="44"/>
      <w:szCs w:val="44"/>
    </w:rPr>
  </w:style>
  <w:style w:type="character" w:customStyle="1" w:styleId="12">
    <w:name w:val="批注框文本 字符"/>
    <w:basedOn w:val="9"/>
    <w:link w:val="4"/>
    <w:semiHidden/>
    <w:qFormat/>
    <w:uiPriority w:val="99"/>
    <w:rPr>
      <w:rFonts w:ascii="Arial" w:hAnsi="Arial" w:eastAsia="宋体" w:cs="Times New Roman"/>
      <w:kern w:val="0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6"/>
    <w:qFormat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15">
    <w:name w:val="页脚 字符"/>
    <w:basedOn w:val="9"/>
    <w:link w:val="5"/>
    <w:qFormat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16">
    <w:name w:val="批注文字 字符"/>
    <w:basedOn w:val="9"/>
    <w:link w:val="3"/>
    <w:semiHidden/>
    <w:qFormat/>
    <w:uiPriority w:val="99"/>
    <w:rPr>
      <w:rFonts w:ascii="Arial" w:hAnsi="Arial"/>
      <w:szCs w:val="24"/>
    </w:rPr>
  </w:style>
  <w:style w:type="character" w:customStyle="1" w:styleId="17">
    <w:name w:val="批注主题 字符"/>
    <w:basedOn w:val="16"/>
    <w:link w:val="7"/>
    <w:semiHidden/>
    <w:qFormat/>
    <w:uiPriority w:val="99"/>
    <w:rPr>
      <w:rFonts w:ascii="Arial" w:hAnsi="Arial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0" Type="http://schemas.microsoft.com/office/2011/relationships/people" Target="people.xml"/><Relationship Id="rId4" Type="http://schemas.microsoft.com/office/2011/relationships/commentsExtended" Target="commentsExtended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comments" Target="comments.xml"/><Relationship Id="rId29" Type="http://schemas.openxmlformats.org/officeDocument/2006/relationships/image" Target="media/image21.png"/><Relationship Id="rId28" Type="http://schemas.openxmlformats.org/officeDocument/2006/relationships/image" Target="media/image20.emf"/><Relationship Id="rId27" Type="http://schemas.openxmlformats.org/officeDocument/2006/relationships/oleObject" Target="embeddings/oleObject2.bin"/><Relationship Id="rId26" Type="http://schemas.openxmlformats.org/officeDocument/2006/relationships/image" Target="media/image19.emf"/><Relationship Id="rId25" Type="http://schemas.openxmlformats.org/officeDocument/2006/relationships/oleObject" Target="embeddings/oleObject1.bin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13C59F-F991-463C-95DA-9232EBC265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1639</Words>
  <Characters>1765</Characters>
  <Lines>10</Lines>
  <Paragraphs>2</Paragraphs>
  <TotalTime>3</TotalTime>
  <ScaleCrop>false</ScaleCrop>
  <LinksUpToDate>false</LinksUpToDate>
  <CharactersWithSpaces>1891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2025-10-15T08:05:00Z</dcterms:created>
  <dc:creator>鑫旗 费</dc:creator>
  <cp:lastModifiedBy>21950</cp:lastModifiedBy>
  <cp:lastPrinted>2020-09-02T09:46:00Z</cp:lastPrinted>
  <dcterms:modified xsi:type="dcterms:W3CDTF">2025-10-16T02:23:57Z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eyJoZGlkIjoiZWUyMDU3NTIxZjViZTNhZTYxMjZkN2JiYmEzNWY4N2QiLCJ1c2VySWQiOiIzNTI4MTk0ODkifQ==</vt:lpwstr>
  </property>
  <property fmtid="{D5CDD505-2E9C-101B-9397-08002B2CF9AE}" pid="3" name="KSOProductBuildVer">
    <vt:lpwstr>2052-11.8.2.12187</vt:lpwstr>
  </property>
  <property fmtid="{D5CDD505-2E9C-101B-9397-08002B2CF9AE}" pid="4" name="ICV">
    <vt:lpwstr>BF407E3CB00E40E3AB8DC2D2C1FA97D9</vt:lpwstr>
  </property>
</Properties>
</file>