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jc w:val="center"/>
        <w:spacing w:before="1400" w:after="520" w:line="360" w:lineRule="auto"/>
        <w:keepNext/>
      </w:pPr>
      <w:r>
        <w:rPr>
          <w:rFonts w:ascii="Times New Roman" w:hAnsi="Times New Roman" w:eastAsia="宋体"/>
          <w:sz w:val="64"/>
          <w:szCs w:val="64"/>
          <w:b/>
          <w:bCs/>
        </w:rPr>
        <w:t xml:space="preserve">技术标</w:t>
      </w:r>
    </w:p>
    <w:sdt>
      <w:sdtPr>
        <w:alias w:val="dsh-cover-project-name"/>
        <w:tag w:val="dsh-cover-project-name"/>
        <w:text/>
      </w:sdtPr>
      <w:sdtContent>
        <w:p>
          <w:pPr>
            <w:jc w:val="center"/>
            <w:spacing w:before="180" w:after="800" w:line="360" w:lineRule="auto"/>
          </w:pPr>
          <w:r>
            <w:rPr>
              <w:rFonts w:ascii="Times New Roman" w:hAnsi="Times New Roman" w:eastAsia="宋体"/>
              <w:sz w:val="38"/>
              <w:szCs w:val="38"/>
              <w:b/>
              <w:bCs/>
            </w:rPr>
            <w:t xml:space="preserve">项目名称</w:t>
          </w:r>
        </w:p>
      </w:sdtContent>
    </w:sdt>
    <w:sdt>
      <w:sdtPr>
        <w:alias w:val="dsh-cover-project-code"/>
        <w:tag w:val="dsh-cover-project-code"/>
        <w:text/>
      </w:sdtPr>
      <w:sdtContent>
        <w:p>
          <w:pPr>
            <w:jc w:val="center"/>
            <w:spacing w:before="0" w:after="26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项目编号：</w:t>
          </w:r>
        </w:p>
      </w:sdtContent>
    </w:sdt>
    <w:sdt>
      <w:sdtPr>
        <w:alias w:val="dsh-cover-bidder-name"/>
        <w:tag w:val="dsh-cover-bidder-name"/>
        <w:text/>
      </w:sdtPr>
      <w:sdtContent>
        <w:p>
          <w:pPr>
            <w:jc w:val="center"/>
            <w:spacing w:before="0" w:after="26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投标人：</w:t>
          </w:r>
        </w:p>
      </w:sdtContent>
    </w:sdt>
    <w:sdt>
      <w:sdtPr>
        <w:alias w:val="dsh-cover-date"/>
        <w:tag w:val="dsh-cover-date"/>
        <w:text/>
      </w:sdtPr>
      <w:sdtContent>
        <w:p>
          <w:pPr>
            <w:jc w:val="center"/>
            <w:spacing w:before="0" w:after="0" w:line="360" w:lineRule="auto"/>
          </w:pPr>
          <w:r>
            <w:rPr>
              <w:rFonts w:ascii="Times New Roman" w:hAnsi="Times New Roman" w:eastAsia="宋体"/>
              <w:sz w:val="28"/>
              <w:szCs w:val="28"/>
            </w:rPr>
            <w:t xml:space="preserve">日期：</w:t>
          </w:r>
        </w:p>
      </w:sdtContent>
    </w:sdt>
    <w:p>
      <w:r>
        <w:br w:type="page"/>
      </w:r>
    </w:p>
    <w:p>
      <w:pPr>
        <w:jc w:val="center"/>
        <w:spacing w:before="120" w:after="360" w:line="360" w:lineRule="auto"/>
        <w:keepNext/>
      </w:pPr>
      <w:r>
        <w:rPr>
          <w:rFonts w:ascii="Times New Roman" w:hAnsi="Times New Roman" w:eastAsia="宋体"/>
          <w:sz w:val="32"/>
          <w:szCs w:val="32"/>
          <w:b/>
          <w:bCs/>
        </w:rPr>
        <w:t xml:space="preserve">目录</w:t>
      </w:r>
    </w:p>
    <w:sdt>
      <w:sdtPr>
        <w:alias w:val="目录自动生成位置"/>
        <w:tag w:val="dsh-toc"/>
      </w:sdtPr>
      <w:sdtContent>
        <w:p>
          <w:pPr>
            <w:jc w:val="left"/>
            <w:spacing w:before="0" w:after="0" w:line="360" w:lineRule="auto"/>
          </w:pPr>
          <w:r>
            <w:fldChar w:fldCharType="begin"/>
            <w:instrText xml:space="preserve"> TOC \o "1-6" \h \z \u </w:instrText>
            <w:fldChar w:fldCharType="separate"/>
            <w:t>目录将在最终导出时由程序根据章节自动生成</w:t>
            <w:fldChar w:fldCharType="end"/>
          </w:r>
        </w:p>
      </w:sdtContent>
    </w:sdt>
    <w:p>
      <w:pPr>
        <w:spacing w:before="0" w:after="0" w:line="360" w:lineRule="auto"/>
        <w:sectPr>
          <w:type w:val="nextPage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65DEB2">
      <w:pPr>
        <w:pStyle w:val="2"/>
      </w:pPr>
      <w:r>
        <w:rPr>
          <w:rFonts w:hint="eastAsia"/>
        </w:rPr>
        <w:t>技术偏离表</w:t>
      </w:r>
    </w:p>
    <w:p w14:paraId="12112C06">
      <w:pPr>
        <w:widowControl/>
        <w:ind w:firstLine="0" w:firstLineChars="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技术偏离表</w:t>
      </w:r>
    </w:p>
    <w:p w14:paraId="37D2961B">
      <w:pPr>
        <w:ind w:firstLine="0" w:firstLineChars="0"/>
      </w:pPr>
    </w:p>
    <w:sdt>
      <w:sdtPr>
        <w:alias w:val="技术偏离表"/>
        <w:tag w:val="dsh-technical-deviation-table"/>
      </w:sdtPr>
      <w:sdtContent>
        <w:tbl>
          <w:tblPr>
            <w:tblStyle w:val="16"/>
            <w:tblW w:w="492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  <w:tblCaption w:val="dsh-technical-deviation-table"/>
          </w:tblPr>
          <w:tblGrid>
            <w:gridCol w:w="788"/>
            <w:gridCol w:w="1233"/>
            <w:gridCol w:w="549"/>
            <w:gridCol w:w="4810"/>
            <w:gridCol w:w="4250"/>
            <w:gridCol w:w="1377"/>
            <w:gridCol w:w="718"/>
          </w:tblGrid>
          <w:tr w14:paraId="68C359B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4D55EEE">
                <w:pPr>
                  <w:pStyle w:val="38"/>
                </w:pPr>
                <w:r>
                  <w:t>序号</w:t>
                </w:r>
                <w:sdt>
                  <w:sdtPr>
                    <w:alias w:val="序号"/>
                    <w:tag w:val="dsh-fill-index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449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8A79120">
                <w:pPr>
                  <w:pStyle w:val="38"/>
                </w:pPr>
                <w:r>
                  <w:t>标的名称</w:t>
                </w:r>
                <w:sdt>
                  <w:sdtPr>
                    <w:alias w:val="标的名称"/>
                    <w:tag w:val="dsh-fill-subject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1951" w:type="pct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F774919">
                <w:pPr>
                  <w:pStyle w:val="38"/>
                </w:pPr>
                <w:r>
                  <w:t>招标技术要求</w:t>
                </w:r>
                <w:sdt>
                  <w:sdtPr>
                    <w:alias w:val="招标技术要求"/>
                    <w:tag w:val="dsh-fill-requirement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5E3C2111">
                <w:pPr>
                  <w:pStyle w:val="38"/>
                </w:pPr>
                <w:r>
                  <w:t>投标响应内容</w:t>
                </w:r>
                <w:sdt>
                  <w:sdtPr>
                    <w:alias w:val="投标响应内容"/>
                    <w:tag w:val="dsh-fill-response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43CD72FA">
                <w:pPr>
                  <w:pStyle w:val="38"/>
                </w:pPr>
                <w:r>
                  <w:t>偏离程度</w:t>
                </w:r>
                <w:sdt>
                  <w:sdtPr>
                    <w:alias w:val="偏离程度"/>
                    <w:tag w:val="dsh-fill-deviation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BC0A694">
                <w:pPr>
                  <w:pStyle w:val="38"/>
                </w:pPr>
                <w:r>
                  <w:t>备注</w:t>
                </w:r>
                <w:sdt>
                  <w:sdtPr>
                    <w:alias w:val="备注"/>
                    <w:tag w:val="dsh-fill-remark"/>
                  </w:sdtPr>
                  <w:sdtContent>
                    <w:r>
                      <w:rPr>
                        <w:vanish/>
                      </w:rPr>
                      <w:t>​</w:t>
                    </w:r>
                  </w:sdtContent>
                </w:sdt>
              </w:p>
            </w:tc>
          </w:tr>
          <w:tr w14:paraId="64F6C1C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295605DF">
                <w:pPr>
                  <w:pStyle w:val="38"/>
                </w:pPr>
                <w:r>
                  <w:rPr>
                    <w:rFonts w:hint="eastAsia"/>
                  </w:rPr>
                  <w:t>1</w:t>
                </w:r>
              </w:p>
            </w:tc>
            <w:tc>
              <w:tcPr>
                <w:tcW w:w="449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  <w:vAlign w:val="center"/>
              </w:tcPr>
              <w:p w14:paraId="642BF28F">
                <w:pPr>
                  <w:pStyle w:val="38"/>
                </w:pPr>
              </w:p>
            </w:tc>
            <w:tc>
              <w:tcPr>
                <w:tcW w:w="20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5053AC9">
                <w:pPr>
                  <w:pStyle w:val="38"/>
                </w:pPr>
              </w:p>
            </w:tc>
            <w:tc>
              <w:tcPr>
                <w:tcW w:w="175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4ACD489">
                <w:pPr>
                  <w:pStyle w:val="38"/>
                </w:pPr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6562695A">
                <w:pPr>
                  <w:pStyle w:val="38"/>
                </w:pPr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B709CE2">
                <w:pPr>
                  <w:pStyle w:val="38"/>
                </w:pPr>
                <w:r>
                  <w:t>满足、响应</w:t>
                </w:r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7A3F2EE3">
                <w:pPr>
                  <w:pStyle w:val="38"/>
                </w:pPr>
              </w:p>
            </w:tc>
          </w:tr>
          <w:tr w14:paraId="59348AE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8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697517A8">
                <w:pPr>
                  <w:pStyle w:val="38"/>
                </w:pPr>
                <w:r>
                  <w:rPr>
                    <w:rFonts w:hint="eastAsia"/>
                  </w:rPr>
                  <w:t>2</w:t>
                </w:r>
              </w:p>
            </w:tc>
            <w:tc>
              <w:tcPr>
                <w:tcW w:w="449" w:type="pct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  <w:vAlign w:val="center"/>
              </w:tcPr>
              <w:p w14:paraId="4C19677D">
                <w:pPr>
                  <w:pStyle w:val="38"/>
                </w:pPr>
              </w:p>
            </w:tc>
            <w:tc>
              <w:tcPr>
                <w:tcW w:w="20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5A40FFD">
                <w:pPr>
                  <w:pStyle w:val="38"/>
                </w:pPr>
              </w:p>
            </w:tc>
            <w:tc>
              <w:tcPr>
                <w:tcW w:w="175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02060DC4">
                <w:pPr>
                  <w:pStyle w:val="38"/>
                </w:pPr>
              </w:p>
            </w:tc>
            <w:tc>
              <w:tcPr>
                <w:tcW w:w="154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3D4ADC2A">
                <w:pPr>
                  <w:pStyle w:val="38"/>
                </w:pPr>
              </w:p>
            </w:tc>
            <w:tc>
              <w:tcPr>
                <w:tcW w:w="50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7BED076E">
                <w:pPr>
                  <w:pStyle w:val="38"/>
                </w:pPr>
                <w:r>
                  <w:t>满足、响应</w:t>
                </w:r>
              </w:p>
            </w:tc>
            <w:tc>
              <w:tcPr>
                <w:tcW w:w="261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14:paraId="4F430570">
                <w:pPr>
                  <w:pStyle w:val="38"/>
                </w:pPr>
              </w:p>
            </w:tc>
          </w:tr>
        </w:tbl>
      </w:sdtContent>
    </w:sdt>
    <w:p w14:paraId="0447AAE3">
      <w:pPr>
        <w:ind w:firstLine="0" w:firstLineChars="0"/>
        <w:rPr>
          <w:rFonts w:hint="eastAsia"/>
        </w:rPr>
      </w:pPr>
      <w:r>
        <w:rPr>
          <w:rFonts w:hint="eastAsia"/>
        </w:rPr>
        <w:t>说明：</w:t>
      </w:r>
    </w:p>
    <w:p w14:paraId="4C737AB0">
      <w:pPr>
        <w:ind w:firstLine="0" w:firstLineChars="0"/>
        <w:rPr>
          <w:rFonts w:hint="eastAsia"/>
        </w:rPr>
      </w:pPr>
      <w:r>
        <w:rPr>
          <w:rFonts w:hint="eastAsia"/>
        </w:rPr>
        <w:t>1. “招标技术要求”栏应详细列明招标文件中的技术要求。</w:t>
      </w:r>
    </w:p>
    <w:p w14:paraId="0536A2EF">
      <w:pPr>
        <w:ind w:firstLine="0" w:firstLineChars="0"/>
        <w:rPr>
          <w:rFonts w:hint="eastAsia"/>
        </w:rPr>
      </w:pPr>
      <w:r>
        <w:rPr>
          <w:rFonts w:hint="eastAsia"/>
        </w:rPr>
        <w:t>2. “投标响应内容”栏填写投标人对招标文件提出的技术要求作出的明确响应，并列明具体响应数值或内容，只注明符合、 满足等无具体内容表述的，将视为未实质性满足招标文件要求。</w:t>
      </w:r>
    </w:p>
    <w:p w14:paraId="1C155B01">
      <w:pPr>
        <w:ind w:firstLine="0" w:firstLineChars="0"/>
        <w:rPr>
          <w:rFonts w:hint="eastAsia"/>
        </w:rPr>
      </w:pPr>
      <w:r>
        <w:rPr>
          <w:rFonts w:hint="eastAsia"/>
        </w:rPr>
        <w:t>3. “偏离程度”栏填写</w:t>
      </w:r>
      <w:bookmarkStart w:id="0" w:name="OLE_LINK1"/>
      <w:r>
        <w:rPr>
          <w:rFonts w:hint="eastAsia"/>
        </w:rPr>
        <w:t>满足、响应</w:t>
      </w:r>
      <w:bookmarkEnd w:id="0"/>
      <w:r>
        <w:rPr>
          <w:rFonts w:hint="eastAsia"/>
        </w:rPr>
        <w:t>或正偏离、负偏离。</w:t>
      </w:r>
    </w:p>
    <w:p w14:paraId="7A510755">
      <w:pPr>
        <w:ind w:firstLine="0" w:firstLineChars="0"/>
        <w:rPr>
          <w:rFonts w:hint="eastAsia"/>
        </w:rPr>
      </w:pPr>
      <w:r>
        <w:rPr>
          <w:rFonts w:hint="eastAsia"/>
        </w:rPr>
        <w:t>4. “备注”栏可填写偏离情况的具体说明。</w:t>
      </w:r>
    </w:p>
    <w:p w14:paraId="11933D25">
      <w:pPr>
        <w:ind w:firstLine="0" w:firstLineChars="0"/>
        <w:rPr>
          <w:rFonts w:hint="eastAsia"/>
        </w:rPr>
      </w:pPr>
      <w:r>
        <w:rPr>
          <w:rFonts w:hint="eastAsia"/>
        </w:rPr>
        <w:t>5. 本表填写内容与分项报价表不一致的，以分项报价表内容为准。</w:t>
      </w:r>
    </w:p>
    <w:p w14:paraId="16D6B168">
      <w:pPr>
        <w:ind w:firstLine="480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26" w:charSpace="0"/>
        </w:sectPr>
      </w:pPr>
      <w:bookmarkStart w:id="1" w:name="_GoBack"/>
      <w:bookmarkEnd w:id="1"/>
    </w:p>
    <w:sdt>
      <w:sdtPr>
        <w:alias w:val="正文插入位置"/>
        <w:tag w:val="dsh-body"/>
      </w:sdtPr>
      <w:sdtContent>
        <w:p/>
      </w:sdtContent>
    </w:sdt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366A2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B5FD8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449ED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8CA7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26307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EA438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D7951"/>
    <w:multiLevelType w:val="multilevel"/>
    <w:tmpl w:val="5C7D7951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1B"/>
    <w:rsid w:val="0001724B"/>
    <w:rsid w:val="00050CCF"/>
    <w:rsid w:val="0005351B"/>
    <w:rsid w:val="000544E7"/>
    <w:rsid w:val="00066C5A"/>
    <w:rsid w:val="00096DCE"/>
    <w:rsid w:val="000A3895"/>
    <w:rsid w:val="000C385A"/>
    <w:rsid w:val="0010082B"/>
    <w:rsid w:val="00107AA7"/>
    <w:rsid w:val="00140192"/>
    <w:rsid w:val="0017249A"/>
    <w:rsid w:val="0019340C"/>
    <w:rsid w:val="001A2808"/>
    <w:rsid w:val="001A48DF"/>
    <w:rsid w:val="001A56EC"/>
    <w:rsid w:val="001C1BDF"/>
    <w:rsid w:val="001E53D2"/>
    <w:rsid w:val="0025128F"/>
    <w:rsid w:val="00277A7C"/>
    <w:rsid w:val="002F02B4"/>
    <w:rsid w:val="002F2CCA"/>
    <w:rsid w:val="003461D9"/>
    <w:rsid w:val="003F238B"/>
    <w:rsid w:val="004218C5"/>
    <w:rsid w:val="00440699"/>
    <w:rsid w:val="004409EC"/>
    <w:rsid w:val="00455F2B"/>
    <w:rsid w:val="0049786A"/>
    <w:rsid w:val="004B52A6"/>
    <w:rsid w:val="004D557D"/>
    <w:rsid w:val="005D67DE"/>
    <w:rsid w:val="005F5408"/>
    <w:rsid w:val="00602C21"/>
    <w:rsid w:val="00655FF9"/>
    <w:rsid w:val="006A2D34"/>
    <w:rsid w:val="006F3862"/>
    <w:rsid w:val="006F6FB2"/>
    <w:rsid w:val="00755134"/>
    <w:rsid w:val="00781984"/>
    <w:rsid w:val="0081164D"/>
    <w:rsid w:val="008265F6"/>
    <w:rsid w:val="008A659B"/>
    <w:rsid w:val="008C3341"/>
    <w:rsid w:val="00A32163"/>
    <w:rsid w:val="00A4065C"/>
    <w:rsid w:val="00A70B87"/>
    <w:rsid w:val="00A95644"/>
    <w:rsid w:val="00AB447C"/>
    <w:rsid w:val="00AE5849"/>
    <w:rsid w:val="00B3613E"/>
    <w:rsid w:val="00B4184F"/>
    <w:rsid w:val="00B50648"/>
    <w:rsid w:val="00B8249D"/>
    <w:rsid w:val="00BA5037"/>
    <w:rsid w:val="00BC147A"/>
    <w:rsid w:val="00BC3310"/>
    <w:rsid w:val="00C0720E"/>
    <w:rsid w:val="00C10DFA"/>
    <w:rsid w:val="00C34E61"/>
    <w:rsid w:val="00C50F32"/>
    <w:rsid w:val="00CE00CF"/>
    <w:rsid w:val="00CE423C"/>
    <w:rsid w:val="00D80ADE"/>
    <w:rsid w:val="00DA085E"/>
    <w:rsid w:val="00DC0642"/>
    <w:rsid w:val="00DF1EA1"/>
    <w:rsid w:val="00E0533F"/>
    <w:rsid w:val="00E06831"/>
    <w:rsid w:val="00E83760"/>
    <w:rsid w:val="00ED6B6C"/>
    <w:rsid w:val="00EE3410"/>
    <w:rsid w:val="00EF6EC8"/>
    <w:rsid w:val="00F1536D"/>
    <w:rsid w:val="00F8702D"/>
    <w:rsid w:val="00FC23E9"/>
    <w:rsid w:val="00FD5E3E"/>
    <w:rsid w:val="00FE473A"/>
    <w:rsid w:val="28850956"/>
    <w:rsid w:val="2D052B8D"/>
    <w:rsid w:val="7D6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19"/>
    <w:qFormat/>
    <w:uiPriority w:val="9"/>
    <w:pPr>
      <w:keepNext/>
      <w:keepLines/>
      <w:numPr>
        <w:ilvl w:val="0"/>
        <w:numId w:val="1"/>
      </w:numPr>
      <w:spacing w:line="360" w:lineRule="auto"/>
      <w:jc w:val="both"/>
      <w:outlineLvl w:val="0"/>
    </w:pPr>
    <w:rPr>
      <w:rFonts w:ascii="Times New Roman" w:hAnsi="Times New Roman" w:eastAsiaTheme="minorEastAsia" w:cstheme="minorBidi"/>
      <w:b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line="360" w:lineRule="auto"/>
      <w:jc w:val="both"/>
      <w:outlineLvl w:val="1"/>
    </w:pPr>
    <w:rPr>
      <w:rFonts w:ascii="Times New Roman" w:hAnsi="Times New Roman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link w:val="21"/>
    <w:unhideWhenUsed/>
    <w:qFormat/>
    <w:uiPriority w:val="9"/>
    <w:pPr>
      <w:keepNext/>
      <w:keepLines/>
      <w:numPr>
        <w:ilvl w:val="2"/>
        <w:numId w:val="1"/>
      </w:numPr>
      <w:spacing w:line="360" w:lineRule="auto"/>
      <w:jc w:val="both"/>
      <w:outlineLvl w:val="2"/>
    </w:pPr>
    <w:rPr>
      <w:rFonts w:ascii="Times New Roman" w:hAnsi="Times New Roman" w:eastAsiaTheme="minorEastAsia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4"/>
    <w:next w:val="1"/>
    <w:link w:val="22"/>
    <w:unhideWhenUsed/>
    <w:qFormat/>
    <w:uiPriority w:val="9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Theme="majorEastAsia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numPr>
        <w:ilvl w:val="4"/>
        <w:numId w:val="1"/>
      </w:numPr>
      <w:ind w:firstLineChars="0"/>
      <w:outlineLvl w:val="4"/>
    </w:pPr>
    <w:rPr>
      <w:b/>
      <w:bCs/>
      <w:sz w:val="32"/>
      <w:szCs w:val="28"/>
    </w:rPr>
  </w:style>
  <w:style w:type="paragraph" w:styleId="7">
    <w:name w:val="heading 6"/>
    <w:next w:val="1"/>
    <w:link w:val="24"/>
    <w:unhideWhenUsed/>
    <w:qFormat/>
    <w:uiPriority w:val="9"/>
    <w:pPr>
      <w:keepNext/>
      <w:keepLines/>
      <w:numPr>
        <w:ilvl w:val="5"/>
        <w:numId w:val="1"/>
      </w:numPr>
      <w:spacing w:line="360" w:lineRule="auto"/>
      <w:jc w:val="both"/>
      <w:outlineLvl w:val="5"/>
    </w:pPr>
    <w:rPr>
      <w:rFonts w:ascii="Times New Roman" w:hAnsi="Times New Roman" w:eastAsiaTheme="majorEastAsia" w:cstheme="majorBidi"/>
      <w:b/>
      <w:bCs/>
      <w:kern w:val="2"/>
      <w:sz w:val="32"/>
      <w:szCs w:val="24"/>
      <w:lang w:val="en-US" w:eastAsia="zh-CN" w:bidi="ar-SA"/>
    </w:rPr>
  </w:style>
  <w:style w:type="paragraph" w:styleId="8">
    <w:name w:val="heading 7"/>
    <w:next w:val="1"/>
    <w:link w:val="25"/>
    <w:unhideWhenUsed/>
    <w:qFormat/>
    <w:uiPriority w:val="9"/>
    <w:pPr>
      <w:keepNext/>
      <w:keepLines/>
      <w:numPr>
        <w:ilvl w:val="6"/>
        <w:numId w:val="1"/>
      </w:numPr>
      <w:jc w:val="both"/>
      <w:outlineLvl w:val="6"/>
    </w:pPr>
    <w:rPr>
      <w:rFonts w:ascii="Times New Roman" w:hAnsi="Times New Roman" w:eastAsiaTheme="minorEastAsia" w:cstheme="minorBidi"/>
      <w:b/>
      <w:bCs/>
      <w:kern w:val="2"/>
      <w:sz w:val="32"/>
      <w:szCs w:val="24"/>
      <w:lang w:val="en-US" w:eastAsia="zh-CN" w:bidi="ar-SA"/>
    </w:rPr>
  </w:style>
  <w:style w:type="paragraph" w:styleId="9">
    <w:name w:val="heading 8"/>
    <w:next w:val="1"/>
    <w:link w:val="26"/>
    <w:unhideWhenUsed/>
    <w:qFormat/>
    <w:uiPriority w:val="9"/>
    <w:pPr>
      <w:keepNext/>
      <w:keepLines/>
      <w:numPr>
        <w:ilvl w:val="7"/>
        <w:numId w:val="1"/>
      </w:numPr>
      <w:spacing w:line="360" w:lineRule="auto"/>
      <w:jc w:val="both"/>
      <w:outlineLvl w:val="7"/>
    </w:pPr>
    <w:rPr>
      <w:rFonts w:ascii="Times New Roman" w:hAnsi="Times New Roman" w:eastAsiaTheme="majorEastAsia" w:cstheme="majorBidi"/>
      <w:b/>
      <w:kern w:val="2"/>
      <w:sz w:val="32"/>
      <w:szCs w:val="24"/>
      <w:lang w:val="en-US" w:eastAsia="zh-CN" w:bidi="ar-SA"/>
    </w:rPr>
  </w:style>
  <w:style w:type="paragraph" w:styleId="10">
    <w:name w:val="heading 9"/>
    <w:next w:val="1"/>
    <w:link w:val="27"/>
    <w:unhideWhenUsed/>
    <w:qFormat/>
    <w:uiPriority w:val="9"/>
    <w:pPr>
      <w:keepNext/>
      <w:keepLines/>
      <w:numPr>
        <w:ilvl w:val="8"/>
        <w:numId w:val="1"/>
      </w:numPr>
      <w:spacing w:line="360" w:lineRule="auto"/>
      <w:jc w:val="both"/>
      <w:outlineLvl w:val="8"/>
    </w:pPr>
    <w:rPr>
      <w:rFonts w:ascii="Times New Roman" w:hAnsi="Times New Roman" w:eastAsiaTheme="majorEastAsia" w:cstheme="majorBidi"/>
      <w:b/>
      <w:kern w:val="2"/>
      <w:sz w:val="32"/>
      <w:szCs w:val="21"/>
      <w:lang w:val="en-US" w:eastAsia="zh-CN" w:bidi="ar-SA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7"/>
    <w:qFormat/>
    <w:uiPriority w:val="35"/>
    <w:pPr>
      <w:ind w:firstLine="0" w:firstLineChars="0"/>
      <w:jc w:val="center"/>
    </w:pPr>
    <w:rPr>
      <w:rFonts w:eastAsia="宋体" w:cs="Times New Roman"/>
      <w:szCs w:val="21"/>
    </w:rPr>
  </w:style>
  <w:style w:type="paragraph" w:styleId="12">
    <w:name w:val="annotation text"/>
    <w:basedOn w:val="1"/>
    <w:link w:val="36"/>
    <w:unhideWhenUsed/>
    <w:qFormat/>
    <w:uiPriority w:val="99"/>
    <w:pPr>
      <w:ind w:firstLine="480"/>
      <w:jc w:val="left"/>
    </w:p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17"/>
    <w:link w:val="3"/>
    <w:qFormat/>
    <w:uiPriority w:val="9"/>
    <w:rPr>
      <w:rFonts w:ascii="Times New Roman" w:hAnsi="Times New Roman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7"/>
    <w:link w:val="4"/>
    <w:qFormat/>
    <w:uiPriority w:val="9"/>
    <w:rPr>
      <w:rFonts w:ascii="Times New Roman" w:hAnsi="Times New Roman"/>
      <w:b/>
      <w:bCs/>
      <w:sz w:val="32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3">
    <w:name w:val="标题 5 字符"/>
    <w:basedOn w:val="17"/>
    <w:link w:val="6"/>
    <w:qFormat/>
    <w:uiPriority w:val="9"/>
    <w:rPr>
      <w:rFonts w:ascii="Times New Roman" w:hAnsi="Times New Roman"/>
      <w:b/>
      <w:bCs/>
      <w:sz w:val="32"/>
      <w:szCs w:val="28"/>
    </w:rPr>
  </w:style>
  <w:style w:type="character" w:customStyle="1" w:styleId="24">
    <w:name w:val="标题 6 字符"/>
    <w:basedOn w:val="17"/>
    <w:link w:val="7"/>
    <w:qFormat/>
    <w:uiPriority w:val="9"/>
    <w:rPr>
      <w:rFonts w:ascii="Times New Roman" w:hAnsi="Times New Roman" w:eastAsiaTheme="majorEastAsia" w:cstheme="majorBidi"/>
      <w:b/>
      <w:bCs/>
      <w:sz w:val="32"/>
      <w:szCs w:val="24"/>
    </w:rPr>
  </w:style>
  <w:style w:type="character" w:customStyle="1" w:styleId="25">
    <w:name w:val="标题 7 字符"/>
    <w:basedOn w:val="17"/>
    <w:link w:val="8"/>
    <w:qFormat/>
    <w:uiPriority w:val="9"/>
    <w:rPr>
      <w:rFonts w:ascii="Times New Roman" w:hAnsi="Times New Roman"/>
      <w:b/>
      <w:bCs/>
      <w:sz w:val="32"/>
      <w:szCs w:val="24"/>
    </w:rPr>
  </w:style>
  <w:style w:type="character" w:customStyle="1" w:styleId="26">
    <w:name w:val="标题 8 字符"/>
    <w:basedOn w:val="17"/>
    <w:link w:val="9"/>
    <w:qFormat/>
    <w:uiPriority w:val="9"/>
    <w:rPr>
      <w:rFonts w:ascii="Times New Roman" w:hAnsi="Times New Roman" w:eastAsiaTheme="majorEastAsia" w:cstheme="majorBidi"/>
      <w:b/>
      <w:sz w:val="32"/>
      <w:szCs w:val="24"/>
    </w:rPr>
  </w:style>
  <w:style w:type="character" w:customStyle="1" w:styleId="27">
    <w:name w:val="标题 9 字符"/>
    <w:basedOn w:val="17"/>
    <w:link w:val="10"/>
    <w:qFormat/>
    <w:uiPriority w:val="9"/>
    <w:rPr>
      <w:rFonts w:ascii="Times New Roman" w:hAnsi="Times New Roman" w:eastAsiaTheme="majorEastAsia" w:cstheme="majorBidi"/>
      <w:b/>
      <w:sz w:val="32"/>
      <w:szCs w:val="21"/>
    </w:rPr>
  </w:style>
  <w:style w:type="character" w:customStyle="1" w:styleId="28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9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30">
    <w:name w:val="00题注"/>
    <w:next w:val="1"/>
    <w:link w:val="32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31">
    <w:name w:val="00图片"/>
    <w:next w:val="1"/>
    <w:link w:val="34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32">
    <w:name w:val="00题注 Char"/>
    <w:basedOn w:val="17"/>
    <w:link w:val="30"/>
    <w:qFormat/>
    <w:uiPriority w:val="0"/>
    <w:rPr>
      <w:rFonts w:ascii="Times New Roman" w:hAnsi="Times New Roman"/>
      <w:sz w:val="24"/>
    </w:rPr>
  </w:style>
  <w:style w:type="paragraph" w:customStyle="1" w:styleId="33">
    <w:name w:val="00表格文字"/>
    <w:next w:val="1"/>
    <w:link w:val="35"/>
    <w:qFormat/>
    <w:uiPriority w:val="0"/>
    <w:pPr>
      <w:spacing w:line="440" w:lineRule="exact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34">
    <w:name w:val="00图片 Char"/>
    <w:basedOn w:val="17"/>
    <w:link w:val="31"/>
    <w:qFormat/>
    <w:uiPriority w:val="0"/>
    <w:rPr>
      <w:rFonts w:ascii="Times New Roman" w:hAnsi="Times New Roman"/>
      <w:sz w:val="24"/>
    </w:rPr>
  </w:style>
  <w:style w:type="character" w:customStyle="1" w:styleId="35">
    <w:name w:val="00表格文字 Char"/>
    <w:basedOn w:val="17"/>
    <w:link w:val="33"/>
    <w:qFormat/>
    <w:uiPriority w:val="0"/>
    <w:rPr>
      <w:rFonts w:ascii="Times New Roman" w:hAnsi="Times New Roman"/>
      <w:sz w:val="24"/>
    </w:rPr>
  </w:style>
  <w:style w:type="character" w:customStyle="1" w:styleId="36">
    <w:name w:val="批注文字 字符"/>
    <w:basedOn w:val="17"/>
    <w:link w:val="12"/>
    <w:qFormat/>
    <w:uiPriority w:val="99"/>
    <w:rPr>
      <w:rFonts w:ascii="Times New Roman" w:hAnsi="Times New Roman"/>
      <w:sz w:val="24"/>
    </w:rPr>
  </w:style>
  <w:style w:type="character" w:customStyle="1" w:styleId="37">
    <w:name w:val="题注 字符"/>
    <w:link w:val="11"/>
    <w:qFormat/>
    <w:locked/>
    <w:uiPriority w:val="35"/>
    <w:rPr>
      <w:rFonts w:ascii="Times New Roman" w:hAnsi="Times New Roman" w:eastAsia="宋体" w:cs="Times New Roman"/>
      <w:sz w:val="24"/>
      <w:szCs w:val="21"/>
    </w:rPr>
  </w:style>
  <w:style w:type="paragraph" w:customStyle="1" w:styleId="38">
    <w:name w:val="00-表格文字"/>
    <w:basedOn w:val="1"/>
    <w:link w:val="39"/>
    <w:qFormat/>
    <w:uiPriority w:val="0"/>
    <w:pPr>
      <w:widowControl/>
      <w:ind w:firstLine="0" w:firstLineChars="0"/>
      <w:jc w:val="left"/>
    </w:pPr>
    <w:rPr>
      <w:rFonts w:eastAsia="宋体"/>
      <w:kern w:val="0"/>
    </w:rPr>
  </w:style>
  <w:style w:type="character" w:customStyle="1" w:styleId="39">
    <w:name w:val="00-表格文字 字符"/>
    <w:basedOn w:val="17"/>
    <w:link w:val="38"/>
    <w:qFormat/>
    <w:uiPriority w:val="0"/>
    <w:rPr>
      <w:rFonts w:ascii="Times New Roman" w:hAnsi="Times New Roman" w:eastAsia="宋体"/>
      <w:sz w:val="24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A238A-4820-4063-ABC7-62186A6EE0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466</Words>
  <Characters>507</Characters>
  <Lines>24</Lines>
  <Paragraphs>7</Paragraphs>
  <TotalTime>63</TotalTime>
  <ScaleCrop>false</ScaleCrop>
  <LinksUpToDate>false</LinksUpToDate>
  <CharactersWithSpaces>511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2021-09-09T04:04:00Z</dcterms:created>
  <dc:creator>wangjing</dc:creator>
  <cp:lastModifiedBy>岳WF</cp:lastModifiedBy>
  <dcterms:modified xsi:type="dcterms:W3CDTF">2026-09-17T01:19:10Z</dcterms:modified>
  <cp:revision>84</cp:revision>
  <dc:title>技术标默认固定模板</dc:title>
  <dc:subject>第一章固定为技术偏离表；后续正文由 Bid Harness 插入</dc:subject>
  <dc:description>由两个用户模板合并：保留标题/正文/题注样式与技术偏离表结构。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eyJoZGlkIjoiZjA0M2RjZmNiZTRmNDU2NTA1ZDNmYTBlN2I3OGViZTIiLCJ1c2VySWQiOiI5NjU4MzIwNDUifQ==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B38CE9D9C7324742BC4BF411AE4D8F29_12</vt:lpwstr>
  </property>
</Properties>
</file>