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7F679">
      <w:pPr>
        <w:pStyle w:val="166"/>
        <w:spacing w:before="2000" w:after="1400"/>
        <w:jc w:val="center"/>
      </w:pPr>
      <w:bookmarkStart w:id="2" w:name="_GoBack"/>
      <w:bookmarkEnd w:id="2"/>
      <w:r>
        <w:t>园区运维服务技术方案</w:t>
      </w:r>
    </w:p>
    <w:p w14:paraId="783F6909">
      <w:pPr>
        <w:pStyle w:val="165"/>
        <w:jc w:val="center"/>
      </w:pPr>
      <w:r>
        <w:t>演示投标人</w:t>
      </w:r>
    </w:p>
    <w:p w14:paraId="0175F2B1">
      <w:pPr>
        <w:pStyle w:val="165"/>
        <w:jc w:val="center"/>
      </w:pPr>
      <w:r>
        <w:t>2026年10月13日</w:t>
      </w:r>
    </w:p>
    <w:p w14:paraId="20BD2527">
      <w:pPr>
        <w:pStyle w:val="165"/>
      </w:pPr>
      <w:r>
        <w:br w:type="page"/>
      </w:r>
    </w:p>
    <w:p w14:paraId="26A1557C">
      <w:pPr>
        <w:pStyle w:val="168"/>
      </w:pPr>
      <w:r>
        <w:t>目录</w:t>
      </w:r>
    </w:p>
    <w:p w14:paraId="349C8A5E">
      <w:pPr>
        <w:pStyle w:val="26"/>
        <w:tabs>
          <w:tab w:val="right" w:leader="dot" w:pos="8902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_Toc8356 </w:instrText>
      </w:r>
      <w:r>
        <w:fldChar w:fldCharType="separate"/>
      </w:r>
      <w:r>
        <w:t>1 故障处理</w:t>
      </w:r>
      <w:r>
        <w:tab/>
      </w:r>
      <w:r>
        <w:fldChar w:fldCharType="begin"/>
      </w:r>
      <w:r>
        <w:instrText xml:space="preserve"> PAGEREF _Toc8356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CBFB045">
      <w:pPr>
        <w:pStyle w:val="26"/>
        <w:tabs>
          <w:tab w:val="right" w:leader="dot" w:pos="8902"/>
        </w:tabs>
      </w:pPr>
      <w:r>
        <w:fldChar w:fldCharType="begin"/>
      </w:r>
      <w:r>
        <w:instrText xml:space="preserve"> HYPERLINK \l _Toc26557 </w:instrText>
      </w:r>
      <w:r>
        <w:fldChar w:fldCharType="separate"/>
      </w:r>
      <w:r>
        <w:t>2 交付检查</w:t>
      </w:r>
      <w:r>
        <w:tab/>
      </w:r>
      <w:r>
        <w:fldChar w:fldCharType="begin"/>
      </w:r>
      <w:r>
        <w:instrText xml:space="preserve"> PAGEREF _Toc26557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DF1529F">
      <w:pPr>
        <w:pStyle w:val="165"/>
      </w:pPr>
      <w:r>
        <w:fldChar w:fldCharType="end"/>
      </w:r>
    </w:p>
    <w:p w14:paraId="52182B6A">
      <w:pPr>
        <w:pStyle w:val="165"/>
      </w:pPr>
      <w:r>
        <w:br w:type="page"/>
      </w:r>
    </w:p>
    <w:p w14:paraId="697B7ACB">
      <w:pPr>
        <w:pStyle w:val="169"/>
      </w:pPr>
      <w:bookmarkStart w:id="0" w:name="_Toc8356"/>
      <w:r>
        <w:t>1 故障处理</w:t>
      </w:r>
      <w:bookmarkEnd w:id="0"/>
    </w:p>
    <w:p w14:paraId="74C2FEE3">
      <w:pPr>
        <w:pStyle w:val="165"/>
      </w:pPr>
      <w:r>
        <w:t>本方案拟按故障影响范围进行分级，由值班岗位登记现象、影响对象和接报时间，并交对应处理岗位确认。</w:t>
      </w:r>
    </w:p>
    <w:p w14:paraId="6526F3B2">
      <w:pPr>
        <w:pStyle w:val="165"/>
      </w:pPr>
      <w:r>
        <w:t>处理岗位记录定位过程、采取的措施和复核结果。复核未通过时继续处理并更新记录，通过后由值班岗位核对关闭依据。</w:t>
      </w:r>
    </w:p>
    <w:p w14:paraId="6C5D092E">
      <w:pPr>
        <w:pStyle w:val="167"/>
        <w:keepNext/>
        <w:jc w:val="center"/>
      </w:pPr>
      <w:r>
        <w:t>表 1 故障工单记录字段</w:t>
      </w:r>
    </w:p>
    <w:tbl>
      <w:tblPr>
        <w:tblStyle w:val="3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374"/>
        <w:gridCol w:w="6528"/>
      </w:tblGrid>
      <w:tr w14:paraId="74B369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2374" w:type="dxa"/>
            <w:shd w:val="clear" w:color="auto" w:fill="E8EDF2"/>
            <w:vAlign w:val="center"/>
          </w:tcPr>
          <w:p w14:paraId="0915328F">
            <w:pPr>
              <w:pStyle w:val="165"/>
              <w:spacing w:before="60" w:after="60" w:line="276" w:lineRule="auto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6528" w:type="dxa"/>
            <w:shd w:val="clear" w:color="auto" w:fill="E8EDF2"/>
            <w:vAlign w:val="center"/>
          </w:tcPr>
          <w:p w14:paraId="101E085B">
            <w:pPr>
              <w:pStyle w:val="165"/>
              <w:spacing w:before="60" w:after="60" w:line="276" w:lineRule="auto"/>
              <w:jc w:val="center"/>
            </w:pPr>
            <w:r>
              <w:rPr>
                <w:b/>
              </w:rPr>
              <w:t>填写要求</w:t>
            </w:r>
          </w:p>
        </w:tc>
      </w:tr>
      <w:tr w14:paraId="58A130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374" w:type="dxa"/>
            <w:vAlign w:val="center"/>
          </w:tcPr>
          <w:p w14:paraId="4101FD90">
            <w:pPr>
              <w:pStyle w:val="165"/>
              <w:spacing w:before="60" w:after="60" w:line="276" w:lineRule="auto"/>
              <w:jc w:val="center"/>
            </w:pPr>
            <w:r>
              <w:t>故障现象</w:t>
            </w:r>
          </w:p>
        </w:tc>
        <w:tc>
          <w:tcPr>
            <w:tcW w:w="6528" w:type="dxa"/>
            <w:vAlign w:val="center"/>
          </w:tcPr>
          <w:p w14:paraId="3A8C1434">
            <w:pPr>
              <w:pStyle w:val="165"/>
              <w:spacing w:before="60" w:after="60" w:line="276" w:lineRule="auto"/>
            </w:pPr>
            <w:r>
              <w:t>记录实际观察及影响范围</w:t>
            </w:r>
          </w:p>
        </w:tc>
      </w:tr>
      <w:tr w14:paraId="711871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374" w:type="dxa"/>
            <w:vAlign w:val="center"/>
          </w:tcPr>
          <w:p w14:paraId="277F432C">
            <w:pPr>
              <w:pStyle w:val="165"/>
              <w:spacing w:before="60" w:after="60" w:line="276" w:lineRule="auto"/>
              <w:jc w:val="center"/>
            </w:pPr>
            <w:r>
              <w:t>处理措施</w:t>
            </w:r>
          </w:p>
        </w:tc>
        <w:tc>
          <w:tcPr>
            <w:tcW w:w="6528" w:type="dxa"/>
            <w:vAlign w:val="center"/>
          </w:tcPr>
          <w:p w14:paraId="08749AAA">
            <w:pPr>
              <w:pStyle w:val="165"/>
              <w:spacing w:before="60" w:after="60" w:line="276" w:lineRule="auto"/>
            </w:pPr>
            <w:r>
              <w:t>记录已执行动作及结果</w:t>
            </w:r>
          </w:p>
        </w:tc>
      </w:tr>
      <w:tr w14:paraId="1BAE3A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374" w:type="dxa"/>
            <w:vAlign w:val="center"/>
          </w:tcPr>
          <w:p w14:paraId="5BD07204">
            <w:pPr>
              <w:pStyle w:val="165"/>
              <w:spacing w:before="60" w:after="60" w:line="276" w:lineRule="auto"/>
              <w:jc w:val="center"/>
            </w:pPr>
            <w:r>
              <w:t>关闭依据</w:t>
            </w:r>
          </w:p>
        </w:tc>
        <w:tc>
          <w:tcPr>
            <w:tcW w:w="6528" w:type="dxa"/>
            <w:vAlign w:val="center"/>
          </w:tcPr>
          <w:p w14:paraId="380749D3">
            <w:pPr>
              <w:pStyle w:val="165"/>
              <w:spacing w:before="60" w:after="60" w:line="276" w:lineRule="auto"/>
            </w:pPr>
            <w:r>
              <w:t>记录复核方法和结果</w:t>
            </w:r>
          </w:p>
        </w:tc>
      </w:tr>
    </w:tbl>
    <w:p w14:paraId="78495E13">
      <w:pPr>
        <w:pStyle w:val="169"/>
      </w:pPr>
      <w:bookmarkStart w:id="1" w:name="_Toc26557"/>
      <w:r>
        <w:t>2 交付检查</w:t>
      </w:r>
      <w:bookmarkEnd w:id="1"/>
    </w:p>
    <w:p w14:paraId="4AEB0BD8">
      <w:pPr>
        <w:pStyle w:val="165"/>
      </w:pPr>
      <w:r>
        <w:t>本方案拟在交付前逐项检查工单资料和处理记录，并由交付岗位整理成果清单供项目负责人核对。</w:t>
      </w:r>
    </w:p>
    <w:p w14:paraId="7B0DB281">
      <w:pPr>
        <w:pStyle w:val="165"/>
      </w:pPr>
      <w:r>
        <w:t>检查时核对记录是否包含故障现象、实际措施及关闭依据；缺失项登记责任岗位和补齐事项，复查通过后归档。</w:t>
      </w:r>
    </w:p>
    <w:p w14:paraId="011C06E8">
      <w:pPr>
        <w:pStyle w:val="167"/>
        <w:keepNext/>
        <w:jc w:val="center"/>
      </w:pPr>
      <w:r>
        <w:t>表 2 交付检查记录字段</w:t>
      </w:r>
    </w:p>
    <w:tbl>
      <w:tblPr>
        <w:tblStyle w:val="3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548"/>
        <w:gridCol w:w="5032"/>
        <w:gridCol w:w="2322"/>
      </w:tblGrid>
      <w:tr w14:paraId="3A4CBA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1548" w:type="dxa"/>
            <w:shd w:val="clear" w:color="auto" w:fill="E8EDF2"/>
            <w:vAlign w:val="center"/>
          </w:tcPr>
          <w:p w14:paraId="2D9A4973">
            <w:pPr>
              <w:pStyle w:val="165"/>
              <w:spacing w:before="60" w:after="60" w:line="276" w:lineRule="auto"/>
              <w:jc w:val="center"/>
            </w:pPr>
            <w:r>
              <w:rPr>
                <w:b/>
              </w:rPr>
              <w:t>检查对象</w:t>
            </w:r>
          </w:p>
        </w:tc>
        <w:tc>
          <w:tcPr>
            <w:tcW w:w="5032" w:type="dxa"/>
            <w:shd w:val="clear" w:color="auto" w:fill="E8EDF2"/>
            <w:vAlign w:val="center"/>
          </w:tcPr>
          <w:p w14:paraId="64BB7ABF">
            <w:pPr>
              <w:pStyle w:val="165"/>
              <w:spacing w:before="60" w:after="60" w:line="276" w:lineRule="auto"/>
              <w:jc w:val="center"/>
            </w:pPr>
            <w:r>
              <w:rPr>
                <w:b/>
              </w:rPr>
              <w:t>检查方法</w:t>
            </w:r>
          </w:p>
        </w:tc>
        <w:tc>
          <w:tcPr>
            <w:tcW w:w="2322" w:type="dxa"/>
            <w:shd w:val="clear" w:color="auto" w:fill="E8EDF2"/>
            <w:vAlign w:val="center"/>
          </w:tcPr>
          <w:p w14:paraId="35E14AA1">
            <w:pPr>
              <w:pStyle w:val="165"/>
              <w:spacing w:before="60" w:after="60" w:line="276" w:lineRule="auto"/>
              <w:jc w:val="center"/>
            </w:pPr>
            <w:r>
              <w:rPr>
                <w:b/>
              </w:rPr>
              <w:t>留存成果</w:t>
            </w:r>
          </w:p>
        </w:tc>
      </w:tr>
      <w:tr w14:paraId="397FC3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48" w:type="dxa"/>
            <w:vAlign w:val="center"/>
          </w:tcPr>
          <w:p w14:paraId="2B8D5F31">
            <w:pPr>
              <w:pStyle w:val="165"/>
              <w:spacing w:before="60" w:after="60" w:line="276" w:lineRule="auto"/>
              <w:jc w:val="center"/>
            </w:pPr>
            <w:r>
              <w:t>故障工单</w:t>
            </w:r>
          </w:p>
        </w:tc>
        <w:tc>
          <w:tcPr>
            <w:tcW w:w="5032" w:type="dxa"/>
            <w:vAlign w:val="center"/>
          </w:tcPr>
          <w:p w14:paraId="2BBD3025">
            <w:pPr>
              <w:pStyle w:val="165"/>
              <w:spacing w:before="60" w:after="60" w:line="276" w:lineRule="auto"/>
            </w:pPr>
            <w:r>
              <w:t>对照处理及关闭记录逐项核对</w:t>
            </w:r>
          </w:p>
        </w:tc>
        <w:tc>
          <w:tcPr>
            <w:tcW w:w="2322" w:type="dxa"/>
            <w:vAlign w:val="center"/>
          </w:tcPr>
          <w:p w14:paraId="22DB17D3">
            <w:pPr>
              <w:pStyle w:val="165"/>
              <w:spacing w:before="60" w:after="60" w:line="276" w:lineRule="auto"/>
              <w:jc w:val="center"/>
            </w:pPr>
            <w:r>
              <w:t>检查记录</w:t>
            </w:r>
          </w:p>
        </w:tc>
      </w:tr>
      <w:tr w14:paraId="253EA3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48" w:type="dxa"/>
            <w:vAlign w:val="center"/>
          </w:tcPr>
          <w:p w14:paraId="48331E61">
            <w:pPr>
              <w:pStyle w:val="165"/>
              <w:spacing w:before="60" w:after="60" w:line="276" w:lineRule="auto"/>
              <w:jc w:val="center"/>
            </w:pPr>
            <w:r>
              <w:t>缺失事项</w:t>
            </w:r>
          </w:p>
        </w:tc>
        <w:tc>
          <w:tcPr>
            <w:tcW w:w="5032" w:type="dxa"/>
            <w:vAlign w:val="center"/>
          </w:tcPr>
          <w:p w14:paraId="0D426BEA">
            <w:pPr>
              <w:pStyle w:val="165"/>
              <w:spacing w:before="60" w:after="60" w:line="276" w:lineRule="auto"/>
            </w:pPr>
            <w:r>
              <w:t>核对补齐材料及复查结果</w:t>
            </w:r>
          </w:p>
        </w:tc>
        <w:tc>
          <w:tcPr>
            <w:tcW w:w="2322" w:type="dxa"/>
            <w:vAlign w:val="center"/>
          </w:tcPr>
          <w:p w14:paraId="75A0CE07">
            <w:pPr>
              <w:pStyle w:val="165"/>
              <w:spacing w:before="60" w:after="60" w:line="276" w:lineRule="auto"/>
              <w:jc w:val="center"/>
            </w:pPr>
            <w:r>
              <w:t>问题关闭清单</w:t>
            </w:r>
          </w:p>
        </w:tc>
      </w:tr>
    </w:tbl>
    <w:p w14:paraId="1E0DB050"/>
    <w:sectPr>
      <w:footerReference r:id="rId5" w:type="default"/>
      <w:pgSz w:w="11906" w:h="16838"/>
      <w:pgMar w:top="1417" w:right="1417" w:bottom="1417" w:left="158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59FBC">
    <w:pPr>
      <w:pStyle w:val="24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FE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Bid Body"/>
    <w:basedOn w:val="1"/>
    <w:uiPriority w:val="0"/>
    <w:pPr>
      <w:widowControl/>
      <w:spacing w:after="120" w:line="360" w:lineRule="auto"/>
    </w:pPr>
    <w:rPr>
      <w:rFonts w:ascii="宋体" w:hAnsi="宋体" w:eastAsia="宋体"/>
      <w:color w:val="000000"/>
      <w:sz w:val="24"/>
    </w:rPr>
  </w:style>
  <w:style w:type="paragraph" w:customStyle="1" w:styleId="166">
    <w:name w:val="Bid Cover"/>
    <w:basedOn w:val="32"/>
    <w:uiPriority w:val="0"/>
    <w:pPr>
      <w:widowControl/>
      <w:spacing w:after="120" w:line="360" w:lineRule="auto"/>
    </w:pPr>
    <w:rPr>
      <w:rFonts w:ascii="黑体" w:hAnsi="黑体" w:eastAsia="黑体"/>
      <w:b/>
      <w:color w:val="000000"/>
      <w:sz w:val="52"/>
    </w:rPr>
  </w:style>
  <w:style w:type="paragraph" w:customStyle="1" w:styleId="167">
    <w:name w:val="Bid Caption"/>
    <w:basedOn w:val="1"/>
    <w:uiPriority w:val="0"/>
    <w:pPr>
      <w:widowControl/>
      <w:spacing w:after="120" w:line="360" w:lineRule="auto"/>
    </w:pPr>
    <w:rPr>
      <w:rFonts w:ascii="宋体" w:hAnsi="宋体" w:eastAsia="宋体"/>
      <w:color w:val="000000"/>
      <w:sz w:val="21"/>
    </w:rPr>
  </w:style>
  <w:style w:type="paragraph" w:customStyle="1" w:styleId="168">
    <w:name w:val="Bid TOC Title"/>
    <w:basedOn w:val="1"/>
    <w:uiPriority w:val="0"/>
    <w:pPr>
      <w:widowControl/>
      <w:spacing w:after="120" w:line="360" w:lineRule="auto"/>
    </w:pPr>
    <w:rPr>
      <w:rFonts w:ascii="黑体" w:hAnsi="黑体" w:eastAsia="黑体"/>
      <w:b/>
      <w:color w:val="000000"/>
      <w:sz w:val="36"/>
    </w:rPr>
  </w:style>
  <w:style w:type="paragraph" w:customStyle="1" w:styleId="169">
    <w:name w:val="Bid Heading 1"/>
    <w:basedOn w:val="3"/>
    <w:uiPriority w:val="0"/>
    <w:pPr>
      <w:keepNext/>
      <w:keepLines/>
      <w:numPr>
        <w:ilvl w:val="0"/>
        <w:numId w:val="0"/>
      </w:numPr>
      <w:spacing w:before="280" w:after="140"/>
      <w:outlineLvl w:val="0"/>
    </w:pPr>
    <w:rPr>
      <w:rFonts w:ascii="黑体" w:hAnsi="黑体" w:eastAsia="黑体"/>
      <w:color w:val="000000"/>
      <w:sz w:val="36"/>
    </w:rPr>
  </w:style>
  <w:style w:type="paragraph" w:customStyle="1" w:styleId="170">
    <w:name w:val="Bid Heading 2"/>
    <w:basedOn w:val="4"/>
    <w:uiPriority w:val="0"/>
    <w:pPr>
      <w:keepNext/>
      <w:keepLines/>
      <w:numPr>
        <w:ilvl w:val="0"/>
        <w:numId w:val="0"/>
      </w:numPr>
      <w:spacing w:before="280" w:after="140"/>
      <w:outlineLvl w:val="1"/>
    </w:pPr>
    <w:rPr>
      <w:rFonts w:ascii="黑体" w:hAnsi="黑体" w:eastAsia="黑体"/>
      <w:color w:val="000000"/>
      <w:sz w:val="32"/>
    </w:rPr>
  </w:style>
  <w:style w:type="paragraph" w:customStyle="1" w:styleId="171">
    <w:name w:val="Bid Heading 3"/>
    <w:basedOn w:val="5"/>
    <w:uiPriority w:val="0"/>
    <w:pPr>
      <w:keepNext/>
      <w:keepLines/>
      <w:numPr>
        <w:ilvl w:val="0"/>
        <w:numId w:val="0"/>
      </w:numPr>
      <w:spacing w:before="180" w:after="140"/>
      <w:outlineLvl w:val="2"/>
    </w:pPr>
    <w:rPr>
      <w:rFonts w:ascii="黑体" w:hAnsi="黑体" w:eastAsia="黑体"/>
      <w:color w:val="000000"/>
      <w:sz w:val="28"/>
    </w:rPr>
  </w:style>
  <w:style w:type="paragraph" w:customStyle="1" w:styleId="172">
    <w:name w:val="Bid Heading 4"/>
    <w:basedOn w:val="6"/>
    <w:uiPriority w:val="0"/>
    <w:pPr>
      <w:keepNext/>
      <w:keepLines/>
      <w:numPr>
        <w:ilvl w:val="0"/>
        <w:numId w:val="0"/>
      </w:numPr>
      <w:spacing w:before="180" w:after="140"/>
      <w:outlineLvl w:val="3"/>
    </w:pPr>
    <w:rPr>
      <w:rFonts w:ascii="黑体" w:hAnsi="黑体" w:eastAsia="黑体"/>
      <w:color w:val="000000"/>
      <w:sz w:val="26"/>
    </w:rPr>
  </w:style>
  <w:style w:type="paragraph" w:customStyle="1" w:styleId="173">
    <w:name w:val="Bid Heading 5"/>
    <w:basedOn w:val="7"/>
    <w:uiPriority w:val="0"/>
    <w:pPr>
      <w:keepNext/>
      <w:keepLines/>
      <w:numPr>
        <w:ilvl w:val="0"/>
        <w:numId w:val="0"/>
      </w:numPr>
      <w:spacing w:before="180" w:after="140"/>
      <w:outlineLvl w:val="4"/>
    </w:pPr>
    <w:rPr>
      <w:rFonts w:ascii="黑体" w:hAnsi="黑体" w:eastAsia="黑体"/>
      <w:b/>
      <w:color w:val="000000"/>
      <w:sz w:val="24"/>
    </w:rPr>
  </w:style>
  <w:style w:type="paragraph" w:customStyle="1" w:styleId="174">
    <w:name w:val="Bid Heading 6"/>
    <w:basedOn w:val="8"/>
    <w:uiPriority w:val="0"/>
    <w:pPr>
      <w:keepNext/>
      <w:keepLines/>
      <w:numPr>
        <w:ilvl w:val="0"/>
        <w:numId w:val="0"/>
      </w:numPr>
      <w:spacing w:before="180" w:after="140"/>
      <w:outlineLvl w:val="5"/>
    </w:pPr>
    <w:rPr>
      <w:rFonts w:ascii="黑体" w:hAnsi="黑体" w:eastAsia="黑体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演示投标人</dc:creator>
  <dc:description>generated by python-docx</dc:description>
  <cp:lastModifiedBy>岳WF</cp:lastModifiedBy>
  <dcterms:modified xsi:type="dcterms:W3CDTF">2026-10-13T01:56:16Z</dcterms:modified>
  <dc:title>园区运维服务技术方案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B8F65D537E554B3AA95BB97BE57ECD49_12</vt:lpwstr>
  </property>
</Properties>
</file>