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75E39" w14:textId="2ED8BFE9" w:rsidR="003F7093" w:rsidRPr="00285690" w:rsidRDefault="00BB0029" w:rsidP="00BB0029">
      <w:pPr>
        <w:rPr>
          <w:b/>
          <w:bCs/>
        </w:rPr>
      </w:pPr>
      <w:r w:rsidRPr="00285690">
        <w:rPr>
          <w:b/>
          <w:bCs/>
        </w:rPr>
        <w:t>MicroplateG</w:t>
      </w:r>
      <w:r w:rsidR="00BF22E8" w:rsidRPr="00285690">
        <w:rPr>
          <w:b/>
          <w:bCs/>
        </w:rPr>
        <w:t>R4</w:t>
      </w:r>
      <w:r w:rsidR="0005655F" w:rsidRPr="00285690">
        <w:rPr>
          <w:b/>
          <w:bCs/>
        </w:rPr>
        <w:t>, an interactive graphical user interface program to aid in the determination of microbial growth kinetics from microtiter plate optical density data.</w:t>
      </w:r>
    </w:p>
    <w:p w14:paraId="4014A5A8" w14:textId="4FA268B2" w:rsidR="003F7093" w:rsidRDefault="00BB0029" w:rsidP="006832CE">
      <w:pPr>
        <w:spacing w:after="0" w:line="240" w:lineRule="auto"/>
      </w:pPr>
      <w:r>
        <w:t xml:space="preserve">Fred Breidt, USDA/ARS </w:t>
      </w:r>
    </w:p>
    <w:p w14:paraId="4C81E1DC" w14:textId="27569812" w:rsidR="00BB0029" w:rsidRDefault="00BB0029" w:rsidP="006832CE">
      <w:pPr>
        <w:spacing w:after="0" w:line="240" w:lineRule="auto"/>
      </w:pPr>
      <w:r>
        <w:t>USDA/ARS Research Microbiologist</w:t>
      </w:r>
    </w:p>
    <w:p w14:paraId="2DC28672" w14:textId="1C448C1D" w:rsidR="00BB0029" w:rsidRDefault="00BB0029" w:rsidP="006832CE">
      <w:pPr>
        <w:spacing w:after="0" w:line="240" w:lineRule="auto"/>
      </w:pPr>
      <w:r>
        <w:t>Food Science and Market Quality and Handling Research Unit</w:t>
      </w:r>
    </w:p>
    <w:p w14:paraId="1AAC8EDF" w14:textId="03E45657" w:rsidR="00BB0029" w:rsidRDefault="00BB0029" w:rsidP="006832CE">
      <w:pPr>
        <w:spacing w:after="0" w:line="240" w:lineRule="auto"/>
      </w:pPr>
      <w:r>
        <w:t>322 Schaub Hall, Box 7624</w:t>
      </w:r>
    </w:p>
    <w:p w14:paraId="68F1B11D" w14:textId="1416BA2E" w:rsidR="00BB0029" w:rsidRDefault="00BB0029" w:rsidP="006832CE">
      <w:pPr>
        <w:spacing w:after="0" w:line="240" w:lineRule="auto"/>
      </w:pPr>
      <w:r>
        <w:t>NC State University, Raleigh, NC 27695-7624</w:t>
      </w:r>
    </w:p>
    <w:p w14:paraId="4DFB4A96" w14:textId="3B1CD5FE" w:rsidR="00E14B7C" w:rsidRDefault="00BB0029" w:rsidP="006832CE">
      <w:pPr>
        <w:spacing w:after="0" w:line="240" w:lineRule="auto"/>
      </w:pPr>
      <w:r>
        <w:t xml:space="preserve">Email: </w:t>
      </w:r>
      <w:hyperlink r:id="rId5" w:history="1">
        <w:r w:rsidR="00B22123" w:rsidRPr="00247892">
          <w:rPr>
            <w:rStyle w:val="Hyperlink"/>
          </w:rPr>
          <w:t>fred.breidt@usda.gov</w:t>
        </w:r>
      </w:hyperlink>
      <w:r w:rsidR="00272D2A">
        <w:t xml:space="preserve"> </w:t>
      </w:r>
    </w:p>
    <w:p w14:paraId="5947EC67" w14:textId="04B3AF81" w:rsidR="00B22123" w:rsidRDefault="00B22123" w:rsidP="006832CE">
      <w:pPr>
        <w:spacing w:after="0" w:line="240" w:lineRule="auto"/>
      </w:pPr>
    </w:p>
    <w:p w14:paraId="1620E6FB" w14:textId="27458E6A" w:rsidR="00522E3F" w:rsidRDefault="00B22123" w:rsidP="00E14B7C">
      <w:pPr>
        <w:spacing w:after="0" w:line="240" w:lineRule="auto"/>
      </w:pPr>
      <w:r>
        <w:t>The MicroplateGR</w:t>
      </w:r>
      <w:r w:rsidR="00BF22E8">
        <w:t>4</w:t>
      </w:r>
      <w:r>
        <w:t xml:space="preserve"> program </w:t>
      </w:r>
      <w:r w:rsidR="00E14B7C">
        <w:t>was</w:t>
      </w:r>
      <w:r>
        <w:t xml:space="preserve"> designed to offer flexibility i</w:t>
      </w:r>
      <w:r w:rsidR="00F03EE8">
        <w:t>n organizing</w:t>
      </w:r>
      <w:r w:rsidR="00AA70E4">
        <w:t xml:space="preserve"> and</w:t>
      </w:r>
      <w:r w:rsidR="005468E4">
        <w:t xml:space="preserve"> calculating growth parameters</w:t>
      </w:r>
      <w:r w:rsidR="00712840">
        <w:t xml:space="preserve"> from</w:t>
      </w:r>
      <w:r w:rsidR="00674E3A">
        <w:t xml:space="preserve"> 96 well</w:t>
      </w:r>
      <w:r w:rsidR="00712840">
        <w:t xml:space="preserve"> microtiter plate </w:t>
      </w:r>
      <w:r w:rsidR="00F03EE8">
        <w:t>optical density</w:t>
      </w:r>
      <w:r w:rsidR="006346C9">
        <w:t xml:space="preserve"> (OD)</w:t>
      </w:r>
      <w:r w:rsidR="00F03EE8">
        <w:t xml:space="preserve"> data</w:t>
      </w:r>
      <w:r w:rsidR="00A26998">
        <w:t xml:space="preserve">. </w:t>
      </w:r>
      <w:r w:rsidR="008B1E3C">
        <w:t>The organization of microtiter plate experiments may vary considerably</w:t>
      </w:r>
      <w:r w:rsidR="00674E3A">
        <w:t>,</w:t>
      </w:r>
      <w:r w:rsidR="008B1E3C">
        <w:t xml:space="preserve"> </w:t>
      </w:r>
      <w:r w:rsidR="00BF6B15">
        <w:t xml:space="preserve">and replication is needed for </w:t>
      </w:r>
      <w:r w:rsidR="003F6036">
        <w:t xml:space="preserve">accurate results, </w:t>
      </w:r>
      <w:r w:rsidR="00D23E80">
        <w:t>so collating and analyzing data can be a daunting task</w:t>
      </w:r>
      <w:r w:rsidR="007B1395">
        <w:t xml:space="preserve">. </w:t>
      </w:r>
      <w:r w:rsidR="00C777D3">
        <w:t>A</w:t>
      </w:r>
      <w:r w:rsidR="0015512D">
        <w:t xml:space="preserve"> graphical interface </w:t>
      </w:r>
      <w:r w:rsidR="00C777D3">
        <w:t xml:space="preserve">was developed </w:t>
      </w:r>
      <w:r w:rsidR="0015512D">
        <w:t xml:space="preserve">that allows users to </w:t>
      </w:r>
      <w:r w:rsidR="003709C6">
        <w:t xml:space="preserve">easily </w:t>
      </w:r>
      <w:r w:rsidR="0015512D">
        <w:t xml:space="preserve">select </w:t>
      </w:r>
      <w:r w:rsidR="00F6332B">
        <w:t xml:space="preserve">multiple </w:t>
      </w:r>
      <w:r w:rsidR="0015512D">
        <w:t>wells or groups of</w:t>
      </w:r>
      <w:r w:rsidR="00C777D3">
        <w:t xml:space="preserve"> </w:t>
      </w:r>
      <w:r w:rsidR="003F6036">
        <w:t xml:space="preserve">control or </w:t>
      </w:r>
      <w:r w:rsidR="00C777D3">
        <w:t>inoculated wells for analysis</w:t>
      </w:r>
      <w:r w:rsidR="003709C6">
        <w:t xml:space="preserve">. </w:t>
      </w:r>
      <w:r w:rsidR="00D33005">
        <w:t>An underlying</w:t>
      </w:r>
      <w:r w:rsidR="00512373">
        <w:t xml:space="preserve"> database </w:t>
      </w:r>
      <w:r w:rsidR="00DB6204">
        <w:t>engine</w:t>
      </w:r>
      <w:r w:rsidR="00512373">
        <w:t xml:space="preserve"> </w:t>
      </w:r>
      <w:r w:rsidR="00F51528">
        <w:t>facilitates processing</w:t>
      </w:r>
      <w:r w:rsidR="008D5907">
        <w:t xml:space="preserve">, including automated background </w:t>
      </w:r>
      <w:r w:rsidR="006346C9">
        <w:t xml:space="preserve">OD </w:t>
      </w:r>
      <w:r w:rsidR="008D5907">
        <w:t xml:space="preserve">subtraction, </w:t>
      </w:r>
      <w:r w:rsidR="00DB6A79">
        <w:t>natural log transformation</w:t>
      </w:r>
      <w:r w:rsidR="00CD5570">
        <w:t xml:space="preserve"> of OD data</w:t>
      </w:r>
      <w:r w:rsidR="00DB6A79">
        <w:t xml:space="preserve">, </w:t>
      </w:r>
      <w:r w:rsidR="001F37CC">
        <w:t xml:space="preserve">and </w:t>
      </w:r>
      <w:r w:rsidR="00DB6A79">
        <w:t xml:space="preserve">curve fitting with </w:t>
      </w:r>
      <w:r w:rsidR="001F37CC">
        <w:t>commonly used models</w:t>
      </w:r>
      <w:r w:rsidR="00D81E66">
        <w:t xml:space="preserve"> </w:t>
      </w:r>
      <w:r w:rsidR="00CD5570">
        <w:t>including</w:t>
      </w:r>
      <w:r w:rsidR="00D81E66">
        <w:t xml:space="preserve"> the Gompertz or Baranyi models</w:t>
      </w:r>
      <w:r w:rsidR="001F37CC">
        <w:t xml:space="preserve">. </w:t>
      </w:r>
      <w:r w:rsidR="00AA1B15">
        <w:t>Results are displayed in exportable graphs and</w:t>
      </w:r>
      <w:r w:rsidR="001A44F5">
        <w:t xml:space="preserve"> pop-up</w:t>
      </w:r>
      <w:r w:rsidR="00AA1B15">
        <w:t xml:space="preserve"> tables</w:t>
      </w:r>
      <w:r w:rsidR="001A44F5">
        <w:t xml:space="preserve"> that</w:t>
      </w:r>
      <w:r w:rsidR="00453B49">
        <w:t xml:space="preserve"> simplify </w:t>
      </w:r>
      <w:r w:rsidR="001A44F5">
        <w:t xml:space="preserve">transfer </w:t>
      </w:r>
      <w:r w:rsidR="00487486">
        <w:t xml:space="preserve">of data </w:t>
      </w:r>
      <w:r w:rsidR="001A44F5">
        <w:t xml:space="preserve">to </w:t>
      </w:r>
      <w:r w:rsidR="00044943">
        <w:t xml:space="preserve">Microsoft </w:t>
      </w:r>
      <w:r w:rsidR="001A44F5">
        <w:t>Excel</w:t>
      </w:r>
      <w:r w:rsidR="00487486">
        <w:t xml:space="preserve">, </w:t>
      </w:r>
      <w:r w:rsidR="00044943">
        <w:t>PowerPoint</w:t>
      </w:r>
      <w:r w:rsidR="00453B49">
        <w:t xml:space="preserve"> or other programs</w:t>
      </w:r>
      <w:r w:rsidR="00487486">
        <w:t xml:space="preserve"> for further display or analysis</w:t>
      </w:r>
      <w:r w:rsidR="001A44F5">
        <w:t xml:space="preserve">. </w:t>
      </w:r>
      <w:r w:rsidR="00F9675E">
        <w:t>A</w:t>
      </w:r>
      <w:r w:rsidR="001F37CC">
        <w:t xml:space="preserve"> sequential processing </w:t>
      </w:r>
      <w:r w:rsidR="001F1EA6">
        <w:t xml:space="preserve">method for </w:t>
      </w:r>
      <w:r w:rsidR="00407E76">
        <w:t xml:space="preserve">obtaining </w:t>
      </w:r>
      <w:r w:rsidR="00D81E66">
        <w:t>growth rate</w:t>
      </w:r>
      <w:r w:rsidR="00EC0050">
        <w:t>, lag time and maximum optical density</w:t>
      </w:r>
      <w:r w:rsidR="001F1EA6">
        <w:t xml:space="preserve"> is </w:t>
      </w:r>
      <w:r w:rsidR="00407E76">
        <w:t>used by default</w:t>
      </w:r>
      <w:r w:rsidR="001F1EA6">
        <w:t xml:space="preserve"> to aid in the analysis of difficult to fit curves</w:t>
      </w:r>
      <w:r w:rsidR="00B32C53">
        <w:t xml:space="preserve">, and data from </w:t>
      </w:r>
      <w:r w:rsidR="0001334B">
        <w:t xml:space="preserve">multiple </w:t>
      </w:r>
      <w:r w:rsidR="00F9675E">
        <w:t>processing methods</w:t>
      </w:r>
      <w:r w:rsidR="0001334B">
        <w:t xml:space="preserve"> </w:t>
      </w:r>
      <w:r w:rsidR="00B32C53">
        <w:t>can be compared to assure accuracy</w:t>
      </w:r>
      <w:r w:rsidR="0001334B">
        <w:t xml:space="preserve"> of results</w:t>
      </w:r>
      <w:r w:rsidR="00B32C53">
        <w:t xml:space="preserve">. </w:t>
      </w:r>
    </w:p>
    <w:p w14:paraId="669FC9E0" w14:textId="05C6C784" w:rsidR="00697BDA" w:rsidRDefault="00697BDA" w:rsidP="00E14B7C">
      <w:pPr>
        <w:spacing w:after="0" w:line="240" w:lineRule="auto"/>
      </w:pPr>
    </w:p>
    <w:p w14:paraId="51248EA3" w14:textId="336228DD" w:rsidR="00A11C99" w:rsidRDefault="00DA7E0B" w:rsidP="00D871C8">
      <w:r>
        <w:rPr>
          <w:noProof/>
        </w:rPr>
        <w:drawing>
          <wp:anchor distT="0" distB="0" distL="114300" distR="114300" simplePos="0" relativeHeight="251658240" behindDoc="1" locked="0" layoutInCell="1" allowOverlap="1" wp14:anchorId="6A1CD540" wp14:editId="2C996E8A">
            <wp:simplePos x="0" y="0"/>
            <wp:positionH relativeFrom="margin">
              <wp:posOffset>3007995</wp:posOffset>
            </wp:positionH>
            <wp:positionV relativeFrom="paragraph">
              <wp:posOffset>5715</wp:posOffset>
            </wp:positionV>
            <wp:extent cx="3004185" cy="3571875"/>
            <wp:effectExtent l="0" t="0" r="0" b="9525"/>
            <wp:wrapTight wrapText="bothSides">
              <wp:wrapPolygon edited="0">
                <wp:start x="1507" y="0"/>
                <wp:lineTo x="959" y="1958"/>
                <wp:lineTo x="959" y="7603"/>
                <wp:lineTo x="1507" y="9446"/>
                <wp:lineTo x="1096" y="9907"/>
                <wp:lineTo x="959" y="16819"/>
                <wp:lineTo x="137" y="17856"/>
                <wp:lineTo x="0" y="21197"/>
                <wp:lineTo x="411" y="21312"/>
                <wp:lineTo x="2465" y="21542"/>
                <wp:lineTo x="15341" y="21542"/>
                <wp:lineTo x="18902" y="21312"/>
                <wp:lineTo x="21230" y="20966"/>
                <wp:lineTo x="21367" y="20506"/>
                <wp:lineTo x="20956" y="18547"/>
                <wp:lineTo x="20271" y="17741"/>
                <wp:lineTo x="19313" y="16819"/>
                <wp:lineTo x="19587" y="9907"/>
                <wp:lineTo x="18491" y="9792"/>
                <wp:lineTo x="7122" y="9446"/>
                <wp:lineTo x="19450" y="8179"/>
                <wp:lineTo x="19450" y="1037"/>
                <wp:lineTo x="14245" y="461"/>
                <wp:lineTo x="2192" y="0"/>
                <wp:lineTo x="1507" y="0"/>
              </wp:wrapPolygon>
            </wp:wrapTight>
            <wp:docPr id="2127375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4185" cy="3571875"/>
                    </a:xfrm>
                    <a:prstGeom prst="rect">
                      <a:avLst/>
                    </a:prstGeom>
                    <a:noFill/>
                  </pic:spPr>
                </pic:pic>
              </a:graphicData>
            </a:graphic>
            <wp14:sizeRelH relativeFrom="page">
              <wp14:pctWidth>0</wp14:pctWidth>
            </wp14:sizeRelH>
            <wp14:sizeRelV relativeFrom="page">
              <wp14:pctHeight>0</wp14:pctHeight>
            </wp14:sizeRelV>
          </wp:anchor>
        </w:drawing>
      </w:r>
      <w:r w:rsidR="00AE4F8F">
        <w:t>Most commercial m</w:t>
      </w:r>
      <w:r w:rsidR="00F44F04">
        <w:t>icrotiter plate reader</w:t>
      </w:r>
      <w:r w:rsidR="00AE4F8F">
        <w:t xml:space="preserve">s allow </w:t>
      </w:r>
      <w:r w:rsidR="00FB3F74">
        <w:t>the</w:t>
      </w:r>
      <w:r w:rsidR="00F44F04">
        <w:t xml:space="preserve"> export </w:t>
      </w:r>
      <w:r w:rsidR="00FB3F74">
        <w:t xml:space="preserve">of data </w:t>
      </w:r>
      <w:r w:rsidR="00F44F04">
        <w:t>files in Excel, text, or comma delimited spreadsheet format</w:t>
      </w:r>
      <w:r w:rsidR="00FB3F74">
        <w:t xml:space="preserve">. </w:t>
      </w:r>
      <w:r w:rsidR="009418F4">
        <w:t>For use with MicroplateGR4, the</w:t>
      </w:r>
      <w:r w:rsidR="00FB3F74">
        <w:t xml:space="preserve"> data </w:t>
      </w:r>
      <w:r w:rsidR="00F44F04">
        <w:t xml:space="preserve">may be converted to a </w:t>
      </w:r>
      <w:r w:rsidR="00F44F04" w:rsidRPr="00C14713">
        <w:rPr>
          <w:b/>
          <w:bCs/>
        </w:rPr>
        <w:t>standardize</w:t>
      </w:r>
      <w:r w:rsidR="00BE0309" w:rsidRPr="00C14713">
        <w:rPr>
          <w:b/>
          <w:bCs/>
        </w:rPr>
        <w:t>d</w:t>
      </w:r>
      <w:r w:rsidR="00F44F04" w:rsidRPr="00C14713">
        <w:rPr>
          <w:b/>
          <w:bCs/>
        </w:rPr>
        <w:t xml:space="preserve"> input </w:t>
      </w:r>
      <w:r w:rsidR="00A61214">
        <w:rPr>
          <w:b/>
          <w:bCs/>
        </w:rPr>
        <w:t xml:space="preserve">comma delimited spreadsheet </w:t>
      </w:r>
      <w:r w:rsidR="00F44F04" w:rsidRPr="00C14713">
        <w:rPr>
          <w:b/>
          <w:bCs/>
        </w:rPr>
        <w:t xml:space="preserve">format </w:t>
      </w:r>
      <w:r w:rsidR="00FB3F74" w:rsidRPr="00C14713">
        <w:rPr>
          <w:b/>
          <w:bCs/>
        </w:rPr>
        <w:t xml:space="preserve">(Figure 1A) </w:t>
      </w:r>
      <w:r w:rsidR="00F3307B" w:rsidRPr="00C14713">
        <w:rPr>
          <w:b/>
          <w:bCs/>
        </w:rPr>
        <w:t>with a matrix (N</w:t>
      </w:r>
      <w:r w:rsidR="0029124E" w:rsidRPr="00C14713">
        <w:rPr>
          <w:b/>
          <w:bCs/>
        </w:rPr>
        <w:t xml:space="preserve"> row</w:t>
      </w:r>
      <w:r w:rsidR="000271A0" w:rsidRPr="00C14713">
        <w:rPr>
          <w:b/>
          <w:bCs/>
        </w:rPr>
        <w:t>s</w:t>
      </w:r>
      <w:r w:rsidR="0029124E" w:rsidRPr="00C14713">
        <w:rPr>
          <w:b/>
          <w:bCs/>
        </w:rPr>
        <w:t xml:space="preserve"> by </w:t>
      </w:r>
      <w:r w:rsidR="00F3307B" w:rsidRPr="00C14713">
        <w:rPr>
          <w:b/>
          <w:bCs/>
        </w:rPr>
        <w:t>97</w:t>
      </w:r>
      <w:r w:rsidR="0029124E" w:rsidRPr="00C14713">
        <w:rPr>
          <w:b/>
          <w:bCs/>
        </w:rPr>
        <w:t xml:space="preserve"> columns</w:t>
      </w:r>
      <w:r w:rsidR="00F3307B" w:rsidRPr="00C14713">
        <w:rPr>
          <w:b/>
          <w:bCs/>
        </w:rPr>
        <w:t>)</w:t>
      </w:r>
      <w:r w:rsidR="00A61214">
        <w:t>. T</w:t>
      </w:r>
      <w:r w:rsidR="000271A0">
        <w:t xml:space="preserve">he first column </w:t>
      </w:r>
      <w:r w:rsidR="00D20A63">
        <w:t>should contain</w:t>
      </w:r>
      <w:r w:rsidR="000271A0">
        <w:t xml:space="preserve"> </w:t>
      </w:r>
      <w:r w:rsidR="004540A4">
        <w:t xml:space="preserve">cumulative </w:t>
      </w:r>
      <w:r w:rsidR="000271A0">
        <w:t>time values (hour</w:t>
      </w:r>
      <w:r w:rsidR="00D20A63">
        <w:t xml:space="preserve"> units) </w:t>
      </w:r>
      <w:r w:rsidR="000271A0">
        <w:t>followed by 96 columns of optical density data corresponding to each time value.</w:t>
      </w:r>
      <w:r w:rsidR="00711473">
        <w:t xml:space="preserve"> </w:t>
      </w:r>
      <w:r w:rsidR="000271A0">
        <w:t xml:space="preserve"> </w:t>
      </w:r>
      <w:r w:rsidR="00EC6174">
        <w:t xml:space="preserve">The number of rows, corresponding to the time interval values </w:t>
      </w:r>
      <w:r w:rsidR="00240F48">
        <w:t xml:space="preserve">will vary depending on how frequently </w:t>
      </w:r>
      <w:r w:rsidR="00721BB2">
        <w:t>optical density data is sampled.</w:t>
      </w:r>
      <w:r w:rsidR="00240F48">
        <w:t xml:space="preserve"> </w:t>
      </w:r>
      <w:r w:rsidR="00717019">
        <w:t xml:space="preserve">A typical growth curve may contain optical density values recorded every 15 min (0.25 h) </w:t>
      </w:r>
      <w:r w:rsidR="00A33E4B">
        <w:t xml:space="preserve">for </w:t>
      </w:r>
      <w:r w:rsidR="00CD2FB9">
        <w:t>48 hours</w:t>
      </w:r>
      <w:r w:rsidR="00D075C1">
        <w:t xml:space="preserve">. </w:t>
      </w:r>
      <w:r w:rsidR="00BE0309">
        <w:t xml:space="preserve">An optional header row may be included </w:t>
      </w:r>
      <w:r w:rsidR="00F16DEA">
        <w:t xml:space="preserve">in the data file </w:t>
      </w:r>
      <w:r w:rsidR="00BE0309">
        <w:t>as illustrated</w:t>
      </w:r>
      <w:r w:rsidR="009418F4">
        <w:t xml:space="preserve"> (Figure 1)</w:t>
      </w:r>
      <w:r w:rsidR="00743879">
        <w:t>.</w:t>
      </w:r>
      <w:r w:rsidR="00A30985">
        <w:t xml:space="preserve"> </w:t>
      </w:r>
      <w:r w:rsidR="009E34C7">
        <w:t>The MicroplateGR4 program is designed to accept data in row-dominant format</w:t>
      </w:r>
      <w:r w:rsidR="00E45D4F">
        <w:t xml:space="preserve"> as shown in Figure 1A</w:t>
      </w:r>
      <w:r w:rsidR="009E34C7">
        <w:t xml:space="preserve">, with </w:t>
      </w:r>
      <w:r w:rsidR="00E45D4F">
        <w:t xml:space="preserve">successive </w:t>
      </w:r>
      <w:r w:rsidR="00663A6B">
        <w:t xml:space="preserve">values for each of the 12 columns </w:t>
      </w:r>
      <w:r w:rsidR="007D7A9C">
        <w:t>sequentially ordered by rows</w:t>
      </w:r>
      <w:r w:rsidR="00EE7215">
        <w:t xml:space="preserve"> (Figure 1A)</w:t>
      </w:r>
      <w:r w:rsidR="007D7A9C">
        <w:t xml:space="preserve">. </w:t>
      </w:r>
      <w:r w:rsidR="00A30985" w:rsidRPr="00E91404">
        <w:rPr>
          <w:b/>
          <w:bCs/>
        </w:rPr>
        <w:t>The main program window</w:t>
      </w:r>
      <w:r w:rsidR="00EE7215" w:rsidRPr="00E91404">
        <w:rPr>
          <w:b/>
          <w:bCs/>
        </w:rPr>
        <w:t xml:space="preserve"> (Figure 1B)</w:t>
      </w:r>
      <w:r w:rsidR="00A30985">
        <w:t xml:space="preserve"> allows the user to select a .csv data file to open for processing</w:t>
      </w:r>
      <w:r w:rsidR="00EE7215">
        <w:t xml:space="preserve"> using a standard </w:t>
      </w:r>
      <w:r w:rsidR="00111FDC">
        <w:t>file selection dialog</w:t>
      </w:r>
      <w:r w:rsidR="0046663B">
        <w:t xml:space="preserve"> accessed via the File &gt; Open CSV file menu item of MicroplateGR4.</w:t>
      </w:r>
    </w:p>
    <w:p w14:paraId="268D3E2A" w14:textId="39040D66" w:rsidR="00A11C99" w:rsidRDefault="00A11C99" w:rsidP="00D871C8"/>
    <w:p w14:paraId="0D34DBFC" w14:textId="4EA0FE43" w:rsidR="00A11C99" w:rsidRDefault="002D1DFE" w:rsidP="00D871C8">
      <w:r>
        <w:rPr>
          <w:noProof/>
        </w:rPr>
        <w:drawing>
          <wp:anchor distT="0" distB="0" distL="114300" distR="114300" simplePos="0" relativeHeight="251659264" behindDoc="1" locked="0" layoutInCell="1" allowOverlap="1" wp14:anchorId="05C0976D" wp14:editId="1EFB5FDD">
            <wp:simplePos x="0" y="0"/>
            <wp:positionH relativeFrom="margin">
              <wp:posOffset>3514725</wp:posOffset>
            </wp:positionH>
            <wp:positionV relativeFrom="paragraph">
              <wp:posOffset>428625</wp:posOffset>
            </wp:positionV>
            <wp:extent cx="2395855" cy="3905885"/>
            <wp:effectExtent l="0" t="0" r="0" b="0"/>
            <wp:wrapTight wrapText="bothSides">
              <wp:wrapPolygon edited="0">
                <wp:start x="2576" y="105"/>
                <wp:lineTo x="1374" y="632"/>
                <wp:lineTo x="1030" y="948"/>
                <wp:lineTo x="1030" y="8428"/>
                <wp:lineTo x="2920" y="8744"/>
                <wp:lineTo x="1030" y="9165"/>
                <wp:lineTo x="1030" y="17172"/>
                <wp:lineTo x="172" y="18857"/>
                <wp:lineTo x="0" y="21175"/>
                <wp:lineTo x="859" y="21280"/>
                <wp:lineTo x="5496" y="21491"/>
                <wp:lineTo x="6355" y="21491"/>
                <wp:lineTo x="15285" y="21280"/>
                <wp:lineTo x="21125" y="20964"/>
                <wp:lineTo x="21297" y="20122"/>
                <wp:lineTo x="20094" y="19490"/>
                <wp:lineTo x="18205" y="18857"/>
                <wp:lineTo x="20266" y="17383"/>
                <wp:lineTo x="20610" y="9903"/>
                <wp:lineTo x="19751" y="9692"/>
                <wp:lineTo x="10820" y="8744"/>
                <wp:lineTo x="18549" y="8744"/>
                <wp:lineTo x="20610" y="8428"/>
                <wp:lineTo x="20610" y="737"/>
                <wp:lineTo x="19236" y="632"/>
                <wp:lineTo x="3607" y="105"/>
                <wp:lineTo x="2576" y="105"/>
              </wp:wrapPolygon>
            </wp:wrapTight>
            <wp:docPr id="1219410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5855" cy="3905885"/>
                    </a:xfrm>
                    <a:prstGeom prst="rect">
                      <a:avLst/>
                    </a:prstGeom>
                    <a:noFill/>
                  </pic:spPr>
                </pic:pic>
              </a:graphicData>
            </a:graphic>
            <wp14:sizeRelH relativeFrom="page">
              <wp14:pctWidth>0</wp14:pctWidth>
            </wp14:sizeRelH>
            <wp14:sizeRelV relativeFrom="page">
              <wp14:pctHeight>0</wp14:pctHeight>
            </wp14:sizeRelV>
          </wp:anchor>
        </w:drawing>
      </w:r>
      <w:r w:rsidR="00E91404">
        <w:t xml:space="preserve">Input files may be </w:t>
      </w:r>
      <w:r w:rsidR="00537934">
        <w:t xml:space="preserve">readily made </w:t>
      </w:r>
      <w:r w:rsidR="00AF6248">
        <w:t>using</w:t>
      </w:r>
      <w:r w:rsidR="00537934">
        <w:t xml:space="preserve"> Excel</w:t>
      </w:r>
      <w:r w:rsidR="00DE7BC5">
        <w:t xml:space="preserve"> if saved as a .csv file.</w:t>
      </w:r>
      <w:r w:rsidR="00275173">
        <w:t xml:space="preserve"> Most </w:t>
      </w:r>
      <w:r w:rsidR="00DE7BC5">
        <w:t xml:space="preserve">microtiter plate </w:t>
      </w:r>
      <w:r w:rsidR="00275173">
        <w:t xml:space="preserve">readers have a flexible output format that </w:t>
      </w:r>
      <w:r w:rsidR="008C0802">
        <w:t>can be</w:t>
      </w:r>
      <w:r w:rsidR="00275173">
        <w:t xml:space="preserve"> compatible with the </w:t>
      </w:r>
      <w:r w:rsidR="00566C97">
        <w:t xml:space="preserve">comma delimited </w:t>
      </w:r>
      <w:r w:rsidR="008C0802">
        <w:t>column organization shown in Figure 1</w:t>
      </w:r>
      <w:r w:rsidR="00566C97">
        <w:t xml:space="preserve">. </w:t>
      </w:r>
      <w:r w:rsidR="00AE36FB">
        <w:t>Once a file is selected, a</w:t>
      </w:r>
      <w:r w:rsidR="00BE02B7">
        <w:t xml:space="preserve"> Matlab Figure window opens </w:t>
      </w:r>
      <w:r w:rsidR="00740149">
        <w:t>showing 96 graphs of optical density</w:t>
      </w:r>
      <w:r w:rsidR="00A52D06">
        <w:t xml:space="preserve"> values</w:t>
      </w:r>
      <w:r w:rsidR="00740149">
        <w:t xml:space="preserve"> from the microplate data file. </w:t>
      </w:r>
      <w:r w:rsidR="00BE363F">
        <w:t>An e</w:t>
      </w:r>
      <w:r w:rsidR="00420075">
        <w:t>xample</w:t>
      </w:r>
      <w:r w:rsidR="00E21319">
        <w:t xml:space="preserve"> is shown in </w:t>
      </w:r>
      <w:r w:rsidR="00E21319" w:rsidRPr="00F711F9">
        <w:rPr>
          <w:b/>
          <w:bCs/>
        </w:rPr>
        <w:t xml:space="preserve">Figure </w:t>
      </w:r>
      <w:r w:rsidR="00C91163" w:rsidRPr="00F711F9">
        <w:rPr>
          <w:b/>
          <w:bCs/>
        </w:rPr>
        <w:t>2</w:t>
      </w:r>
      <w:r w:rsidR="00E21319">
        <w:t xml:space="preserve">. </w:t>
      </w:r>
    </w:p>
    <w:p w14:paraId="6D26B397" w14:textId="2965B3ED" w:rsidR="00703D19" w:rsidRDefault="00DC30BA" w:rsidP="00D871C8">
      <w:r>
        <w:rPr>
          <w:noProof/>
        </w:rPr>
        <w:drawing>
          <wp:anchor distT="0" distB="0" distL="114300" distR="114300" simplePos="0" relativeHeight="251660288" behindDoc="1" locked="0" layoutInCell="1" allowOverlap="1" wp14:anchorId="3FA91DD1" wp14:editId="64EA1CCB">
            <wp:simplePos x="0" y="0"/>
            <wp:positionH relativeFrom="margin">
              <wp:posOffset>3714750</wp:posOffset>
            </wp:positionH>
            <wp:positionV relativeFrom="paragraph">
              <wp:posOffset>3956685</wp:posOffset>
            </wp:positionV>
            <wp:extent cx="2246630" cy="3019425"/>
            <wp:effectExtent l="0" t="0" r="0" b="9525"/>
            <wp:wrapTight wrapText="bothSides">
              <wp:wrapPolygon edited="0">
                <wp:start x="0" y="0"/>
                <wp:lineTo x="0" y="16762"/>
                <wp:lineTo x="183" y="21259"/>
                <wp:lineTo x="733" y="21532"/>
                <wp:lineTo x="8242" y="21532"/>
                <wp:lineTo x="15202" y="21259"/>
                <wp:lineTo x="20696" y="20578"/>
                <wp:lineTo x="20696" y="17444"/>
                <wp:lineTo x="19414" y="15263"/>
                <wp:lineTo x="19414" y="0"/>
                <wp:lineTo x="0" y="0"/>
              </wp:wrapPolygon>
            </wp:wrapTight>
            <wp:docPr id="248655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6630" cy="3019425"/>
                    </a:xfrm>
                    <a:prstGeom prst="rect">
                      <a:avLst/>
                    </a:prstGeom>
                    <a:noFill/>
                  </pic:spPr>
                </pic:pic>
              </a:graphicData>
            </a:graphic>
            <wp14:sizeRelH relativeFrom="page">
              <wp14:pctWidth>0</wp14:pctWidth>
            </wp14:sizeRelH>
            <wp14:sizeRelV relativeFrom="page">
              <wp14:pctHeight>0</wp14:pctHeight>
            </wp14:sizeRelV>
          </wp:anchor>
        </w:drawing>
      </w:r>
      <w:r w:rsidR="007854B6">
        <w:t xml:space="preserve">This graph is </w:t>
      </w:r>
      <w:r w:rsidR="008F2346">
        <w:t>interactive</w:t>
      </w:r>
      <w:r w:rsidR="001D2C31">
        <w:t>, and</w:t>
      </w:r>
      <w:r w:rsidR="008F2346">
        <w:t xml:space="preserve"> the user may select one or more </w:t>
      </w:r>
      <w:r w:rsidR="003C1C02">
        <w:t xml:space="preserve">panels in the </w:t>
      </w:r>
      <w:r w:rsidR="008F2346">
        <w:t xml:space="preserve">graph </w:t>
      </w:r>
      <w:r w:rsidR="008C75D8">
        <w:t>by clicking on</w:t>
      </w:r>
      <w:r w:rsidR="000457D9">
        <w:t xml:space="preserve"> individual </w:t>
      </w:r>
      <w:r w:rsidR="003C1C02">
        <w:t>panels</w:t>
      </w:r>
      <w:r w:rsidR="008C75D8">
        <w:t xml:space="preserve">. The corresponding row and column data for the selected well(s) are then used either as </w:t>
      </w:r>
      <w:r w:rsidR="00EA2394">
        <w:t xml:space="preserve">blank (control, no cells) or growth curve data. The background color for each selected graph will </w:t>
      </w:r>
      <w:r w:rsidR="0095308E">
        <w:t>change to indicate the graph was selected. Clicking again on the same graph will un-select the graph window. Using this method, users</w:t>
      </w:r>
      <w:r w:rsidR="00C103DA">
        <w:t xml:space="preserve"> should</w:t>
      </w:r>
      <w:r w:rsidR="0095308E">
        <w:t xml:space="preserve"> first select control well</w:t>
      </w:r>
      <w:r w:rsidR="00C103DA">
        <w:t>s representing</w:t>
      </w:r>
      <w:r w:rsidR="006A6D91">
        <w:t xml:space="preserve"> replicate</w:t>
      </w:r>
      <w:r w:rsidR="009F6FA6">
        <w:t xml:space="preserve"> data</w:t>
      </w:r>
      <w:r w:rsidR="00E52B93">
        <w:t xml:space="preserve"> as available </w:t>
      </w:r>
      <w:r w:rsidR="004F1841">
        <w:t xml:space="preserve">(Figure </w:t>
      </w:r>
      <w:r w:rsidR="008563E4">
        <w:t>2</w:t>
      </w:r>
      <w:r w:rsidR="004F1841">
        <w:t>A)</w:t>
      </w:r>
      <w:r w:rsidR="008563E4">
        <w:t xml:space="preserve"> then </w:t>
      </w:r>
      <w:r w:rsidR="00283A64">
        <w:t xml:space="preserve">click on the </w:t>
      </w:r>
      <w:r w:rsidR="00283A64" w:rsidRPr="00283A64">
        <w:rPr>
          <w:b/>
          <w:bCs/>
        </w:rPr>
        <w:t>Select Controls</w:t>
      </w:r>
      <w:r w:rsidR="008563E4">
        <w:rPr>
          <w:b/>
          <w:bCs/>
        </w:rPr>
        <w:t xml:space="preserve"> button. </w:t>
      </w:r>
      <w:r w:rsidR="00A94786">
        <w:t xml:space="preserve">This action results in </w:t>
      </w:r>
      <w:r w:rsidR="00616974">
        <w:t xml:space="preserve">setting of the </w:t>
      </w:r>
      <w:r w:rsidR="00616974" w:rsidRPr="008F75A6">
        <w:rPr>
          <w:b/>
          <w:bCs/>
        </w:rPr>
        <w:t xml:space="preserve">Blanks </w:t>
      </w:r>
      <w:r w:rsidR="00616974">
        <w:t xml:space="preserve">display field and </w:t>
      </w:r>
      <w:r w:rsidR="008F75A6" w:rsidRPr="008F75A6">
        <w:rPr>
          <w:b/>
          <w:bCs/>
        </w:rPr>
        <w:t>Blank Mean</w:t>
      </w:r>
      <w:r w:rsidR="008F75A6">
        <w:t xml:space="preserve"> and </w:t>
      </w:r>
      <w:r w:rsidR="008F75A6" w:rsidRPr="008F75A6">
        <w:rPr>
          <w:b/>
          <w:bCs/>
        </w:rPr>
        <w:t>Stdev</w:t>
      </w:r>
      <w:r w:rsidR="008F75A6">
        <w:t xml:space="preserve"> fields on the main program window. </w:t>
      </w:r>
      <w:r w:rsidR="0039618F">
        <w:t xml:space="preserve">An option to display a histogram of the control values is available by </w:t>
      </w:r>
      <w:r w:rsidR="003D0DC9">
        <w:t>selecting</w:t>
      </w:r>
      <w:r w:rsidR="0039618F">
        <w:t xml:space="preserve"> the </w:t>
      </w:r>
      <w:r w:rsidR="0039618F" w:rsidRPr="003D0DC9">
        <w:rPr>
          <w:b/>
          <w:bCs/>
        </w:rPr>
        <w:t>Show Histogram</w:t>
      </w:r>
      <w:r w:rsidR="0039618F">
        <w:t xml:space="preserve"> checkbox </w:t>
      </w:r>
      <w:r w:rsidR="003D0DC9">
        <w:t xml:space="preserve">located </w:t>
      </w:r>
      <w:r w:rsidR="0039618F">
        <w:t>below the Select Controls button prior to pushing the Select Controls button. This will allow the user to assess the variation in optical density from control wells. Once Select Controls has been pushed, the selected wells in the 96 well figure window are cleared</w:t>
      </w:r>
      <w:r w:rsidR="0034005F">
        <w:t xml:space="preserve"> of color shading</w:t>
      </w:r>
      <w:r w:rsidR="003D0DC9">
        <w:t xml:space="preserve"> </w:t>
      </w:r>
      <w:r w:rsidR="00AB0B33">
        <w:t xml:space="preserve">and the user can then select </w:t>
      </w:r>
      <w:r w:rsidR="0095514E">
        <w:t xml:space="preserve">appropriate </w:t>
      </w:r>
      <w:r w:rsidR="00AB0B33">
        <w:t xml:space="preserve">growth curves </w:t>
      </w:r>
      <w:r w:rsidR="0095514E">
        <w:t xml:space="preserve">for data </w:t>
      </w:r>
      <w:r w:rsidR="00AB0B33">
        <w:t xml:space="preserve">corresponding to the </w:t>
      </w:r>
      <w:r w:rsidR="0095514E">
        <w:t xml:space="preserve">blank media controls. </w:t>
      </w:r>
      <w:r w:rsidR="002927D2">
        <w:t>Figure 2B shows</w:t>
      </w:r>
      <w:r w:rsidR="0034005F">
        <w:t xml:space="preserve"> the</w:t>
      </w:r>
      <w:r w:rsidR="002927D2">
        <w:t xml:space="preserve"> selection of 6 replicate growth curves</w:t>
      </w:r>
      <w:r w:rsidR="00956322">
        <w:t xml:space="preserve">. </w:t>
      </w:r>
      <w:r w:rsidR="0040437C">
        <w:t xml:space="preserve">After selection, the user then presses the </w:t>
      </w:r>
      <w:r w:rsidR="00143A7C">
        <w:rPr>
          <w:b/>
          <w:bCs/>
        </w:rPr>
        <w:t xml:space="preserve">Select Data </w:t>
      </w:r>
      <w:r w:rsidR="00143A7C">
        <w:t xml:space="preserve">button. </w:t>
      </w:r>
      <w:r w:rsidR="00941689">
        <w:t xml:space="preserve">There are two options for this button </w:t>
      </w:r>
      <w:r w:rsidR="00941689">
        <w:rPr>
          <w:b/>
          <w:bCs/>
        </w:rPr>
        <w:t xml:space="preserve">Show Model Graph </w:t>
      </w:r>
      <w:r w:rsidR="00941689">
        <w:t xml:space="preserve">and </w:t>
      </w:r>
      <w:r w:rsidR="00941689">
        <w:rPr>
          <w:b/>
          <w:bCs/>
        </w:rPr>
        <w:t xml:space="preserve">Show Spreadsheet. </w:t>
      </w:r>
      <w:r w:rsidR="00DB382B">
        <w:t>By default</w:t>
      </w:r>
      <w:r w:rsidR="0021217C">
        <w:t>,</w:t>
      </w:r>
      <w:r w:rsidR="00DB382B">
        <w:t xml:space="preserve"> </w:t>
      </w:r>
      <w:r w:rsidR="008B57C4">
        <w:t xml:space="preserve">only </w:t>
      </w:r>
      <w:r w:rsidR="00DB382B">
        <w:t xml:space="preserve">the Show </w:t>
      </w:r>
      <w:r w:rsidR="00323179">
        <w:t>S</w:t>
      </w:r>
      <w:r w:rsidR="00DB382B">
        <w:t>preadsheet option is selected.</w:t>
      </w:r>
      <w:r w:rsidR="00323179">
        <w:t xml:space="preserve"> </w:t>
      </w:r>
      <w:r w:rsidR="00033CA7">
        <w:t>If both options are selected a graph and table of data are shown</w:t>
      </w:r>
      <w:r w:rsidR="00A84F19">
        <w:t>. The results</w:t>
      </w:r>
      <w:r w:rsidR="0021217C">
        <w:t xml:space="preserve"> sho</w:t>
      </w:r>
      <w:r w:rsidR="00A73AA5">
        <w:t>w</w:t>
      </w:r>
      <w:r w:rsidR="00C9055B">
        <w:t xml:space="preserve"> the growth kinetics analysis.</w:t>
      </w:r>
      <w:r w:rsidR="00A84F19">
        <w:t xml:space="preserve"> For </w:t>
      </w:r>
      <w:r w:rsidR="009A5D7B">
        <w:t>the analysis of growth kinetics, a</w:t>
      </w:r>
      <w:r w:rsidR="00AB6826">
        <w:t xml:space="preserve"> </w:t>
      </w:r>
      <w:r w:rsidR="00AB6826" w:rsidRPr="00EB18DE">
        <w:rPr>
          <w:b/>
          <w:bCs/>
        </w:rPr>
        <w:t>sliding window</w:t>
      </w:r>
      <w:r w:rsidR="00887276" w:rsidRPr="00EB18DE">
        <w:rPr>
          <w:b/>
          <w:bCs/>
        </w:rPr>
        <w:t xml:space="preserve"> (SW)</w:t>
      </w:r>
      <w:r w:rsidR="00FA5406" w:rsidRPr="00EB18DE">
        <w:rPr>
          <w:b/>
          <w:bCs/>
        </w:rPr>
        <w:t xml:space="preserve"> </w:t>
      </w:r>
      <w:r w:rsidR="002D7B8D" w:rsidRPr="00EB18DE">
        <w:rPr>
          <w:b/>
          <w:bCs/>
        </w:rPr>
        <w:t>method</w:t>
      </w:r>
      <w:r w:rsidR="002D7B8D">
        <w:t xml:space="preserve"> </w:t>
      </w:r>
      <w:r w:rsidR="00472917">
        <w:t xml:space="preserve">is used </w:t>
      </w:r>
      <w:r w:rsidR="002D7B8D">
        <w:t xml:space="preserve">as described </w:t>
      </w:r>
      <w:r w:rsidR="00654C48">
        <w:t>(Breidt et al., 1994</w:t>
      </w:r>
      <w:r w:rsidR="00B52695">
        <w:t xml:space="preserve">, Atolia et al., </w:t>
      </w:r>
      <w:r w:rsidR="004816DD">
        <w:t>2020</w:t>
      </w:r>
      <w:r w:rsidR="00654C48">
        <w:t xml:space="preserve">). </w:t>
      </w:r>
      <w:r w:rsidR="00FC13D1">
        <w:t xml:space="preserve"> A graphic representation of the algorithm is shown in </w:t>
      </w:r>
      <w:r w:rsidR="00FC13D1" w:rsidRPr="005948C4">
        <w:rPr>
          <w:b/>
          <w:bCs/>
        </w:rPr>
        <w:t>Figure 3</w:t>
      </w:r>
      <w:r w:rsidR="00FC13D1">
        <w:t xml:space="preserve">. </w:t>
      </w:r>
      <w:r w:rsidR="002851DF">
        <w:t xml:space="preserve">A sliding window of sequential sets of data points are processed to identify the </w:t>
      </w:r>
      <w:r w:rsidR="00551F46">
        <w:t xml:space="preserve">maximum slope for the natural log of </w:t>
      </w:r>
      <w:r w:rsidR="002F493E">
        <w:t xml:space="preserve">the </w:t>
      </w:r>
      <w:r w:rsidR="00551F46">
        <w:t xml:space="preserve">corrected optical density data (equivalent to the </w:t>
      </w:r>
      <w:r w:rsidR="002F493E">
        <w:t xml:space="preserve">maximum </w:t>
      </w:r>
      <w:r w:rsidR="00551F46">
        <w:t>growth rate)</w:t>
      </w:r>
      <w:r w:rsidR="002F493E">
        <w:t xml:space="preserve">. Because this method does not require curve fitting with a </w:t>
      </w:r>
      <w:r w:rsidR="00744B4D">
        <w:t xml:space="preserve">model that has a </w:t>
      </w:r>
      <w:r w:rsidR="002F493E">
        <w:t xml:space="preserve">predefined sigmoidal </w:t>
      </w:r>
      <w:r w:rsidR="00744B4D">
        <w:t xml:space="preserve">shape, growth curves with atypical shapes may be </w:t>
      </w:r>
      <w:r w:rsidR="00BF1115">
        <w:t xml:space="preserve">successfully </w:t>
      </w:r>
      <w:r w:rsidR="00744B4D">
        <w:t>processed</w:t>
      </w:r>
      <w:r w:rsidR="0066030E">
        <w:t xml:space="preserve">. Lag time is defined as the </w:t>
      </w:r>
      <w:r w:rsidR="00C06C0B">
        <w:lastRenderedPageBreak/>
        <w:t xml:space="preserve">elapsed time for the intersection of the slope line and the minimum optical density for the </w:t>
      </w:r>
      <w:r w:rsidR="0073225B">
        <w:t xml:space="preserve">growth curve (as shown in Figure 3). </w:t>
      </w:r>
      <w:r w:rsidR="00BF1115">
        <w:t xml:space="preserve">Maximum OD is determined as well. These parameters can </w:t>
      </w:r>
      <w:r w:rsidR="00896352">
        <w:rPr>
          <w:noProof/>
        </w:rPr>
        <w:drawing>
          <wp:anchor distT="0" distB="0" distL="114300" distR="114300" simplePos="0" relativeHeight="251663360" behindDoc="1" locked="0" layoutInCell="1" allowOverlap="1" wp14:anchorId="2D074261" wp14:editId="6E4D460E">
            <wp:simplePos x="0" y="0"/>
            <wp:positionH relativeFrom="margin">
              <wp:posOffset>3114675</wp:posOffset>
            </wp:positionH>
            <wp:positionV relativeFrom="paragraph">
              <wp:posOffset>533400</wp:posOffset>
            </wp:positionV>
            <wp:extent cx="3190875" cy="3152775"/>
            <wp:effectExtent l="0" t="0" r="0" b="0"/>
            <wp:wrapTight wrapText="bothSides">
              <wp:wrapPolygon edited="0">
                <wp:start x="1032" y="0"/>
                <wp:lineTo x="516" y="1958"/>
                <wp:lineTo x="516" y="9005"/>
                <wp:lineTo x="2063" y="10702"/>
                <wp:lineTo x="3353" y="12790"/>
                <wp:lineTo x="3353" y="16967"/>
                <wp:lineTo x="645" y="17880"/>
                <wp:lineTo x="0" y="18272"/>
                <wp:lineTo x="0" y="21404"/>
                <wp:lineTo x="3998" y="21404"/>
                <wp:lineTo x="13153" y="21143"/>
                <wp:lineTo x="21020" y="20230"/>
                <wp:lineTo x="20891" y="18794"/>
                <wp:lineTo x="19472" y="17880"/>
                <wp:lineTo x="17022" y="16967"/>
                <wp:lineTo x="17022" y="10702"/>
                <wp:lineTo x="17925" y="10702"/>
                <wp:lineTo x="20117" y="9136"/>
                <wp:lineTo x="20246" y="1175"/>
                <wp:lineTo x="18956" y="914"/>
                <wp:lineTo x="11477" y="0"/>
                <wp:lineTo x="1032" y="0"/>
              </wp:wrapPolygon>
            </wp:wrapTight>
            <wp:docPr id="13018719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875" cy="3152775"/>
                    </a:xfrm>
                    <a:prstGeom prst="rect">
                      <a:avLst/>
                    </a:prstGeom>
                    <a:noFill/>
                  </pic:spPr>
                </pic:pic>
              </a:graphicData>
            </a:graphic>
            <wp14:sizeRelH relativeFrom="page">
              <wp14:pctWidth>0</wp14:pctWidth>
            </wp14:sizeRelH>
            <wp14:sizeRelV relativeFrom="page">
              <wp14:pctHeight>0</wp14:pctHeight>
            </wp14:sizeRelV>
          </wp:anchor>
        </w:drawing>
      </w:r>
      <w:r w:rsidR="00B048D9">
        <w:t xml:space="preserve">subsequently be used to visualize </w:t>
      </w:r>
      <w:r w:rsidR="009573F1">
        <w:t>the predicted</w:t>
      </w:r>
      <w:r w:rsidR="00B048D9">
        <w:t xml:space="preserve"> sigmoidal model</w:t>
      </w:r>
      <w:r w:rsidR="009573F1">
        <w:t>s</w:t>
      </w:r>
      <w:r w:rsidR="00B048D9">
        <w:t xml:space="preserve"> </w:t>
      </w:r>
      <w:r w:rsidR="00CF49D1">
        <w:t xml:space="preserve">for either the Gompertz </w:t>
      </w:r>
      <w:r w:rsidR="00221809">
        <w:t xml:space="preserve">(Zwietering et al., 1990) </w:t>
      </w:r>
      <w:r w:rsidR="00CF49D1">
        <w:t xml:space="preserve">or Baranyi </w:t>
      </w:r>
      <w:r w:rsidR="00C21AAB">
        <w:t>(Baranyi and Roberts, 1994)</w:t>
      </w:r>
      <w:r w:rsidR="00AF0B4F">
        <w:t xml:space="preserve"> by plotting </w:t>
      </w:r>
      <w:r w:rsidR="00097DC0">
        <w:t>predicted OD vs. Time</w:t>
      </w:r>
      <w:r w:rsidR="009A5D7B">
        <w:t>.</w:t>
      </w:r>
      <w:r w:rsidR="00097DC0">
        <w:t xml:space="preserve"> </w:t>
      </w:r>
      <w:r w:rsidR="004B43A4">
        <w:t xml:space="preserve">When wells are selected </w:t>
      </w:r>
      <w:r w:rsidR="00412C8D">
        <w:t>for processing by the Select Data button, the</w:t>
      </w:r>
      <w:r w:rsidR="00153751">
        <w:t xml:space="preserve"> panels</w:t>
      </w:r>
      <w:r w:rsidR="00412C8D">
        <w:t xml:space="preserve"> remain selected for </w:t>
      </w:r>
      <w:r w:rsidR="00153751">
        <w:t xml:space="preserve">additional curve fitting </w:t>
      </w:r>
      <w:r w:rsidR="00406B1C">
        <w:t>or export of OD data</w:t>
      </w:r>
      <w:r w:rsidR="00412C8D">
        <w:t xml:space="preserve">. </w:t>
      </w:r>
      <w:r w:rsidR="00412C8D" w:rsidRPr="00412C8D">
        <w:rPr>
          <w:b/>
          <w:bCs/>
        </w:rPr>
        <w:t>The Clear Wells</w:t>
      </w:r>
      <w:r w:rsidR="00412C8D">
        <w:t xml:space="preserve"> button can be used to </w:t>
      </w:r>
      <w:r w:rsidR="00614FEC">
        <w:t>remove the selection shading</w:t>
      </w:r>
      <w:r w:rsidR="00F4621D">
        <w:t xml:space="preserve"> from the panels</w:t>
      </w:r>
      <w:r w:rsidR="00614FEC">
        <w:t xml:space="preserve">, or </w:t>
      </w:r>
      <w:r w:rsidR="00F4621D">
        <w:t xml:space="preserve">the </w:t>
      </w:r>
      <w:r w:rsidR="007C7D3F">
        <w:t>panels</w:t>
      </w:r>
      <w:r w:rsidR="00614FEC">
        <w:t xml:space="preserve"> can be deselected by </w:t>
      </w:r>
      <w:r w:rsidR="00F4621D">
        <w:t xml:space="preserve">clicking </w:t>
      </w:r>
      <w:r w:rsidR="007C7D3F">
        <w:t xml:space="preserve">on them </w:t>
      </w:r>
      <w:r w:rsidR="00406B1C">
        <w:t xml:space="preserve">individually </w:t>
      </w:r>
      <w:r w:rsidR="007C7D3F">
        <w:t>with the mouse</w:t>
      </w:r>
      <w:r w:rsidR="00F4621D">
        <w:t xml:space="preserve">. </w:t>
      </w:r>
    </w:p>
    <w:p w14:paraId="6A14F47F" w14:textId="14B4735A" w:rsidR="00285690" w:rsidRDefault="00E931BC" w:rsidP="00DA7E0B">
      <w:r w:rsidRPr="00CF1DDC">
        <w:rPr>
          <w:b/>
          <w:bCs/>
          <w:i/>
          <w:iCs/>
          <w:noProof/>
        </w:rPr>
        <w:drawing>
          <wp:anchor distT="0" distB="0" distL="114300" distR="114300" simplePos="0" relativeHeight="251662336" behindDoc="1" locked="0" layoutInCell="1" allowOverlap="1" wp14:anchorId="11DAD8C0" wp14:editId="4F94EAAA">
            <wp:simplePos x="0" y="0"/>
            <wp:positionH relativeFrom="margin">
              <wp:posOffset>3162300</wp:posOffset>
            </wp:positionH>
            <wp:positionV relativeFrom="paragraph">
              <wp:posOffset>1831975</wp:posOffset>
            </wp:positionV>
            <wp:extent cx="2705100" cy="3716655"/>
            <wp:effectExtent l="0" t="0" r="0" b="0"/>
            <wp:wrapTight wrapText="bothSides">
              <wp:wrapPolygon edited="0">
                <wp:start x="304" y="111"/>
                <wp:lineTo x="0" y="1107"/>
                <wp:lineTo x="0" y="17935"/>
                <wp:lineTo x="152" y="21478"/>
                <wp:lineTo x="13994" y="21478"/>
                <wp:lineTo x="15515" y="21257"/>
                <wp:lineTo x="20839" y="20150"/>
                <wp:lineTo x="20992" y="18489"/>
                <wp:lineTo x="18406" y="18046"/>
                <wp:lineTo x="21448" y="17935"/>
                <wp:lineTo x="21448" y="14614"/>
                <wp:lineTo x="5780" y="14503"/>
                <wp:lineTo x="21448" y="13175"/>
                <wp:lineTo x="21448" y="996"/>
                <wp:lineTo x="1217" y="111"/>
                <wp:lineTo x="304" y="111"/>
              </wp:wrapPolygon>
            </wp:wrapTight>
            <wp:docPr id="1706793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100" cy="3716655"/>
                    </a:xfrm>
                    <a:prstGeom prst="rect">
                      <a:avLst/>
                    </a:prstGeom>
                    <a:noFill/>
                  </pic:spPr>
                </pic:pic>
              </a:graphicData>
            </a:graphic>
            <wp14:sizeRelH relativeFrom="page">
              <wp14:pctWidth>0</wp14:pctWidth>
            </wp14:sizeRelH>
            <wp14:sizeRelV relativeFrom="page">
              <wp14:pctHeight>0</wp14:pctHeight>
            </wp14:sizeRelV>
          </wp:anchor>
        </w:drawing>
      </w:r>
      <w:r w:rsidR="006506C2">
        <w:t>Example</w:t>
      </w:r>
      <w:r w:rsidR="006F7FD2">
        <w:t xml:space="preserve"> output</w:t>
      </w:r>
      <w:r w:rsidR="006506C2">
        <w:t xml:space="preserve"> data</w:t>
      </w:r>
      <w:r w:rsidR="00896352">
        <w:t xml:space="preserve">, including the </w:t>
      </w:r>
      <w:r w:rsidR="006F7FD2">
        <w:t xml:space="preserve">control histogram, </w:t>
      </w:r>
      <w:r w:rsidR="004D4BF6">
        <w:t>a</w:t>
      </w:r>
      <w:r w:rsidR="006F7FD2">
        <w:t xml:space="preserve"> graph of </w:t>
      </w:r>
      <w:r w:rsidR="00145E21">
        <w:t xml:space="preserve">observed and predicted data </w:t>
      </w:r>
      <w:r w:rsidR="004D4BF6">
        <w:t xml:space="preserve">and a table with the kinetics data </w:t>
      </w:r>
      <w:r w:rsidR="00145E21">
        <w:t>for</w:t>
      </w:r>
      <w:r w:rsidR="006506C2">
        <w:t xml:space="preserve"> the wells selected</w:t>
      </w:r>
      <w:r w:rsidR="006F7FD2">
        <w:t xml:space="preserve"> are shown in</w:t>
      </w:r>
      <w:r w:rsidR="00145E21">
        <w:t xml:space="preserve"> </w:t>
      </w:r>
      <w:r w:rsidR="00145E21">
        <w:rPr>
          <w:b/>
          <w:bCs/>
        </w:rPr>
        <w:t xml:space="preserve">Figure 4. </w:t>
      </w:r>
      <w:r w:rsidR="00D871C8">
        <w:t xml:space="preserve">The </w:t>
      </w:r>
      <w:r w:rsidR="00B825E0">
        <w:t>table</w:t>
      </w:r>
      <w:r w:rsidR="00D871C8">
        <w:t xml:space="preserve"> lists the row and column for each well selected (RowCol), along with data for growth rate (GR), doubling time (DBL), lag time (LAG), uncorrected minimum OD (without background OD subtraction), corrected minimum OD (with background OD subtraction), the corrected maximum OD (with background OD subtraction, and the percent of optical density due to the cells over the background (PERCENT).</w:t>
      </w:r>
      <w:r w:rsidR="00B825E0">
        <w:t xml:space="preserve"> Because the initial OD from microtiter plate growth curves may influence the derived kinetics,</w:t>
      </w:r>
      <w:r w:rsidR="00B825E0">
        <w:rPr>
          <w:b/>
          <w:bCs/>
        </w:rPr>
        <w:t xml:space="preserve"> i</w:t>
      </w:r>
      <w:r w:rsidR="00D871C8" w:rsidRPr="00A268C9">
        <w:rPr>
          <w:b/>
          <w:bCs/>
        </w:rPr>
        <w:t>t is recommended to</w:t>
      </w:r>
      <w:r w:rsidR="00E84067">
        <w:rPr>
          <w:b/>
          <w:bCs/>
        </w:rPr>
        <w:t xml:space="preserve"> only</w:t>
      </w:r>
      <w:r w:rsidR="00D871C8" w:rsidRPr="00A268C9">
        <w:rPr>
          <w:b/>
          <w:bCs/>
        </w:rPr>
        <w:t xml:space="preserve"> use microplate </w:t>
      </w:r>
      <w:r w:rsidR="00A220BF">
        <w:rPr>
          <w:b/>
          <w:bCs/>
        </w:rPr>
        <w:t>growth curves that have an initial OD</w:t>
      </w:r>
      <w:r w:rsidR="00D871C8" w:rsidRPr="00A268C9">
        <w:rPr>
          <w:b/>
          <w:bCs/>
        </w:rPr>
        <w:t xml:space="preserve"> with PERCENT values between 5 and 25</w:t>
      </w:r>
      <w:r w:rsidR="00D871C8">
        <w:t>. This</w:t>
      </w:r>
      <w:r w:rsidR="00187224">
        <w:t xml:space="preserve"> assures that</w:t>
      </w:r>
      <w:r w:rsidR="00D871C8">
        <w:t xml:space="preserve"> the </w:t>
      </w:r>
      <w:r w:rsidR="00187224">
        <w:t xml:space="preserve">initial </w:t>
      </w:r>
      <w:r w:rsidR="00D871C8">
        <w:t>OD due to the cells was between 5% and 25% of the total optical density due to the medium.</w:t>
      </w:r>
      <w:r w:rsidR="00187224">
        <w:t xml:space="preserve"> The</w:t>
      </w:r>
      <w:r w:rsidR="00D871C8">
        <w:t xml:space="preserve"> OD due to cells was calculated according to Equation 1: </w:t>
      </w:r>
    </w:p>
    <w:p w14:paraId="6BBDC131" w14:textId="344EDC61" w:rsidR="00466613" w:rsidRPr="00CF1DDC" w:rsidRDefault="00D871C8" w:rsidP="00285690">
      <w:pPr>
        <w:pStyle w:val="ListParagraph"/>
        <w:numPr>
          <w:ilvl w:val="0"/>
          <w:numId w:val="4"/>
        </w:numPr>
        <w:rPr>
          <w:rFonts w:eastAsia="Calibri" w:cs="Calibri"/>
          <w:b/>
          <w:bCs/>
          <w:i/>
          <w:iCs/>
        </w:rPr>
      </w:pPr>
      <w:r w:rsidRPr="00CF1DDC">
        <w:rPr>
          <w:rFonts w:eastAsia="Calibri" w:cs="Calibri"/>
          <w:b/>
          <w:bCs/>
          <w:i/>
          <w:iCs/>
        </w:rPr>
        <w:t xml:space="preserve">% OD due to cells = 100 * (OD with cells – mean background OD)/mean background OD </w:t>
      </w:r>
    </w:p>
    <w:p w14:paraId="0B558FE1" w14:textId="2B6DCD56" w:rsidR="00866B98" w:rsidRDefault="00866B98" w:rsidP="0005655F">
      <w:r>
        <w:t>In addition to the SW model, MicroplateGR4 includes features for traditional curve fitting with both the Baranyi and Gompertz models, as well as export functions for .csv files that contain raw or processed data from selected curves and models. Output files include exporting the derived kinetics spreadsheet (as shown in</w:t>
      </w:r>
      <w:r w:rsidR="00ED215C">
        <w:t xml:space="preserve"> Figure 4</w:t>
      </w:r>
      <w:r>
        <w:t xml:space="preserve">), raw OD data, or natural log transformed OD data with background subtraction. These features are available under the Plate menu. Finally, the Model menu includes a non-linear curve fitting option that will generate a graph and table of parameters </w:t>
      </w:r>
      <w:r w:rsidR="00FA4D05">
        <w:lastRenderedPageBreak/>
        <w:t xml:space="preserve">using the data for background </w:t>
      </w:r>
      <w:r w:rsidR="00C33D35">
        <w:t xml:space="preserve">wells and </w:t>
      </w:r>
      <w:r w:rsidR="0078635D">
        <w:t xml:space="preserve">the selected panels </w:t>
      </w:r>
      <w:r>
        <w:t>(</w:t>
      </w:r>
      <w:r w:rsidRPr="00ED215C">
        <w:rPr>
          <w:b/>
          <w:bCs/>
        </w:rPr>
        <w:t>Figure 5</w:t>
      </w:r>
      <w:r>
        <w:t>)</w:t>
      </w:r>
      <w:r w:rsidR="0078635D">
        <w:t xml:space="preserve">. </w:t>
      </w:r>
      <w:r w:rsidR="00B301EE">
        <w:t>To switch between the Gompertz or Baranyi model</w:t>
      </w:r>
      <w:r w:rsidR="009747FA">
        <w:t xml:space="preserve">, use the Model &gt; Select Model menu item. </w:t>
      </w:r>
      <w:r w:rsidR="0078635D">
        <w:t>This feature</w:t>
      </w:r>
      <w:r>
        <w:t xml:space="preserve"> </w:t>
      </w:r>
      <w:r w:rsidR="0078635D">
        <w:t>gives</w:t>
      </w:r>
      <w:r>
        <w:t xml:space="preserve"> users an </w:t>
      </w:r>
      <w:r w:rsidR="00E95DE9">
        <w:t xml:space="preserve">additional </w:t>
      </w:r>
      <w:r>
        <w:t xml:space="preserve">option for determining growth </w:t>
      </w:r>
      <w:r w:rsidR="00C33D35">
        <w:t xml:space="preserve">kinetics </w:t>
      </w:r>
      <w:r>
        <w:t xml:space="preserve">parameters. As with the SW model graph, the root-mean square error for the fit of the model to the data is shown </w:t>
      </w:r>
      <w:r w:rsidR="00B301EE">
        <w:t xml:space="preserve">as part of </w:t>
      </w:r>
      <w:r>
        <w:t xml:space="preserve">the graph title (RMSE). </w:t>
      </w:r>
      <w:r w:rsidRPr="00A94C49">
        <w:rPr>
          <w:b/>
          <w:bCs/>
        </w:rPr>
        <w:t xml:space="preserve">The fitting algorithm will be applied to the currently selected </w:t>
      </w:r>
      <w:r w:rsidR="0008371E">
        <w:rPr>
          <w:b/>
          <w:bCs/>
        </w:rPr>
        <w:t>panels</w:t>
      </w:r>
      <w:r w:rsidR="00E931BC">
        <w:rPr>
          <w:b/>
          <w:bCs/>
        </w:rPr>
        <w:t xml:space="preserve"> and </w:t>
      </w:r>
      <w:r w:rsidRPr="00A94C49">
        <w:rPr>
          <w:b/>
          <w:bCs/>
        </w:rPr>
        <w:t>model (Gompertz or Baranyi)</w:t>
      </w:r>
      <w:r>
        <w:t>. For all of the pop-up tables selecting the data in the table and using the keyboard copy options (Control-C to copy and Control-V to paste) can allow direct pasting of data into Excel</w:t>
      </w:r>
      <w:r w:rsidR="0005655F">
        <w:t xml:space="preserve"> other programs.</w:t>
      </w:r>
      <w:r w:rsidR="00631D58">
        <w:t xml:space="preserve"> Alternatively, output tables can be generated directly as .csv files using the </w:t>
      </w:r>
      <w:r w:rsidR="00F51BDF">
        <w:t xml:space="preserve">Plate &gt; Exporte Kinetics data, Export OD data, or Export </w:t>
      </w:r>
      <w:r w:rsidR="00EE11DC">
        <w:t xml:space="preserve">Ln data menu items. The user will be prompted to select a file name and location for the exported data tables. </w:t>
      </w:r>
    </w:p>
    <w:p w14:paraId="447DF116" w14:textId="492AC36A" w:rsidR="00FE3F83" w:rsidRPr="0005655F" w:rsidRDefault="00FE3F83" w:rsidP="002315F4">
      <w:pPr>
        <w:rPr>
          <w:b/>
          <w:bCs/>
        </w:rPr>
      </w:pPr>
      <w:r w:rsidRPr="0005655F">
        <w:rPr>
          <w:b/>
          <w:bCs/>
        </w:rPr>
        <w:t xml:space="preserve">References: </w:t>
      </w:r>
    </w:p>
    <w:p w14:paraId="3AD5F4E6" w14:textId="2144C985" w:rsidR="002315F4" w:rsidRPr="002315F4" w:rsidRDefault="009A12F8" w:rsidP="002315F4">
      <w:pPr>
        <w:pStyle w:val="ListParagraph"/>
        <w:numPr>
          <w:ilvl w:val="0"/>
          <w:numId w:val="3"/>
        </w:numPr>
        <w:tabs>
          <w:tab w:val="left" w:pos="0"/>
        </w:tabs>
        <w:rPr>
          <w:rFonts w:asciiTheme="majorHAnsi" w:hAnsiTheme="majorHAnsi" w:cstheme="majorHAnsi"/>
          <w:color w:val="212121"/>
          <w:shd w:val="clear" w:color="auto" w:fill="FFFFFF"/>
        </w:rPr>
      </w:pPr>
      <w:r w:rsidRPr="002315F4">
        <w:rPr>
          <w:rFonts w:asciiTheme="majorHAnsi" w:hAnsiTheme="majorHAnsi" w:cstheme="majorHAnsi"/>
          <w:color w:val="212121"/>
          <w:shd w:val="clear" w:color="auto" w:fill="FFFFFF"/>
        </w:rPr>
        <w:t xml:space="preserve">Atolia E, Cesar S, Arjes HA, Rajendram M, Shi H, Knapp BD, Khare S, Aranda-Díaz A, Lenski RE, Huang KC. Environmental and physiological factors affecting high-throughput measurements of bacterial growth. mBio. 2020 Oct 20;11(5):e01378-20. </w:t>
      </w:r>
      <w:hyperlink r:id="rId11" w:history="1">
        <w:r w:rsidRPr="002315F4">
          <w:rPr>
            <w:rStyle w:val="Hyperlink"/>
            <w:rFonts w:asciiTheme="majorHAnsi" w:hAnsiTheme="majorHAnsi" w:cstheme="majorHAnsi"/>
            <w:shd w:val="clear" w:color="auto" w:fill="FFFFFF"/>
          </w:rPr>
          <w:t>https://doi.org/10.1128/mBio.01378-20</w:t>
        </w:r>
      </w:hyperlink>
    </w:p>
    <w:p w14:paraId="4C129772" w14:textId="77777777" w:rsidR="002315F4" w:rsidRPr="002315F4" w:rsidRDefault="00FE3F83" w:rsidP="0024550A">
      <w:pPr>
        <w:pStyle w:val="ListParagraph"/>
        <w:numPr>
          <w:ilvl w:val="0"/>
          <w:numId w:val="3"/>
        </w:numPr>
        <w:tabs>
          <w:tab w:val="left" w:pos="0"/>
        </w:tabs>
        <w:rPr>
          <w:rFonts w:asciiTheme="majorHAnsi" w:hAnsiTheme="majorHAnsi" w:cstheme="majorHAnsi"/>
          <w:color w:val="212121"/>
          <w:shd w:val="clear" w:color="auto" w:fill="FFFFFF"/>
        </w:rPr>
      </w:pPr>
      <w:r>
        <w:t xml:space="preserve">Breidt, Romick, and Fleming, 1994, </w:t>
      </w:r>
      <w:r w:rsidRPr="00C70D1F">
        <w:t>J Rapid Methods Autom Microbiol 3(1):59-68</w:t>
      </w:r>
      <w:r>
        <w:t xml:space="preserve">.  </w:t>
      </w:r>
      <w:hyperlink r:id="rId12" w:history="1">
        <w:r w:rsidRPr="00C963C7">
          <w:rPr>
            <w:rStyle w:val="Hyperlink"/>
          </w:rPr>
          <w:t>https://doi.org/10.1111/j.1745-4581.1994.tb00308.x</w:t>
        </w:r>
      </w:hyperlink>
    </w:p>
    <w:p w14:paraId="389EE039" w14:textId="77777777" w:rsidR="002315F4" w:rsidRPr="002315F4" w:rsidRDefault="0024550A" w:rsidP="0024550A">
      <w:pPr>
        <w:pStyle w:val="ListParagraph"/>
        <w:numPr>
          <w:ilvl w:val="0"/>
          <w:numId w:val="3"/>
        </w:numPr>
        <w:tabs>
          <w:tab w:val="left" w:pos="0"/>
        </w:tabs>
        <w:rPr>
          <w:rFonts w:asciiTheme="majorHAnsi" w:hAnsiTheme="majorHAnsi" w:cstheme="majorHAnsi"/>
          <w:color w:val="212121"/>
          <w:shd w:val="clear" w:color="auto" w:fill="FFFFFF"/>
        </w:rPr>
      </w:pPr>
      <w:r w:rsidRPr="002315F4">
        <w:rPr>
          <w:rFonts w:asciiTheme="majorHAnsi" w:hAnsiTheme="majorHAnsi" w:cstheme="majorHAnsi"/>
        </w:rPr>
        <w:t xml:space="preserve">Zwietering MH, Jongenburger I, Rombouts FM, van't Tiet K. 1990. Modeling the bacterial growth curve. Appl Env Microbiol 56(6):1875-1881. </w:t>
      </w:r>
      <w:hyperlink r:id="rId13" w:history="1">
        <w:r w:rsidRPr="002315F4">
          <w:rPr>
            <w:rStyle w:val="Hyperlink"/>
            <w:rFonts w:asciiTheme="majorHAnsi" w:hAnsiTheme="majorHAnsi" w:cstheme="majorHAnsi"/>
          </w:rPr>
          <w:t>https://doi.org/10.1128/aem.56.6.1875-1881.1990</w:t>
        </w:r>
      </w:hyperlink>
    </w:p>
    <w:p w14:paraId="1839F7A1" w14:textId="62D24B47" w:rsidR="0024550A" w:rsidRPr="002315F4" w:rsidRDefault="0024550A" w:rsidP="0024550A">
      <w:pPr>
        <w:pStyle w:val="ListParagraph"/>
        <w:numPr>
          <w:ilvl w:val="0"/>
          <w:numId w:val="3"/>
        </w:numPr>
        <w:tabs>
          <w:tab w:val="left" w:pos="0"/>
        </w:tabs>
        <w:rPr>
          <w:rFonts w:asciiTheme="majorHAnsi" w:hAnsiTheme="majorHAnsi" w:cstheme="majorHAnsi"/>
          <w:color w:val="212121"/>
          <w:shd w:val="clear" w:color="auto" w:fill="FFFFFF"/>
        </w:rPr>
      </w:pPr>
      <w:r w:rsidRPr="002315F4">
        <w:rPr>
          <w:rFonts w:asciiTheme="majorHAnsi" w:hAnsiTheme="majorHAnsi" w:cstheme="majorHAnsi"/>
          <w:color w:val="212121"/>
          <w:shd w:val="clear" w:color="auto" w:fill="FFFFFF"/>
        </w:rPr>
        <w:t xml:space="preserve">Baranyi J, Roberts TA. A dynamic approach to predicting bacterial growth in food. Int J Food Microbiol. 1994 Nov;23(3-4):277-94. </w:t>
      </w:r>
      <w:hyperlink r:id="rId14" w:history="1">
        <w:r w:rsidRPr="002315F4">
          <w:rPr>
            <w:rStyle w:val="Hyperlink"/>
            <w:rFonts w:asciiTheme="majorHAnsi" w:hAnsiTheme="majorHAnsi" w:cstheme="majorHAnsi"/>
            <w:shd w:val="clear" w:color="auto" w:fill="FFFFFF"/>
          </w:rPr>
          <w:t>https://doi.org/10.1016/0168-1605(94)90157-0</w:t>
        </w:r>
      </w:hyperlink>
    </w:p>
    <w:p w14:paraId="0A1A1DB1" w14:textId="03000B43" w:rsidR="00736808" w:rsidRDefault="00736808" w:rsidP="00736808">
      <w:pPr>
        <w:spacing w:after="0" w:line="240" w:lineRule="auto"/>
      </w:pPr>
    </w:p>
    <w:sectPr w:rsidR="0073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50340"/>
    <w:multiLevelType w:val="hybridMultilevel"/>
    <w:tmpl w:val="092C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5C3B"/>
    <w:multiLevelType w:val="hybridMultilevel"/>
    <w:tmpl w:val="F46C8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B1BAC"/>
    <w:multiLevelType w:val="hybridMultilevel"/>
    <w:tmpl w:val="FAAC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B09A7"/>
    <w:multiLevelType w:val="hybridMultilevel"/>
    <w:tmpl w:val="CB46D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606837">
    <w:abstractNumId w:val="1"/>
  </w:num>
  <w:num w:numId="2" w16cid:durableId="2089767129">
    <w:abstractNumId w:val="3"/>
  </w:num>
  <w:num w:numId="3" w16cid:durableId="976452906">
    <w:abstractNumId w:val="0"/>
  </w:num>
  <w:num w:numId="4" w16cid:durableId="1888906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FE"/>
    <w:rsid w:val="000022AF"/>
    <w:rsid w:val="0000233E"/>
    <w:rsid w:val="000033B4"/>
    <w:rsid w:val="0001105E"/>
    <w:rsid w:val="0001334B"/>
    <w:rsid w:val="000156C1"/>
    <w:rsid w:val="000271A0"/>
    <w:rsid w:val="00033CA7"/>
    <w:rsid w:val="00041AC4"/>
    <w:rsid w:val="00044943"/>
    <w:rsid w:val="000457D9"/>
    <w:rsid w:val="0004610A"/>
    <w:rsid w:val="0005655F"/>
    <w:rsid w:val="00074644"/>
    <w:rsid w:val="0008371E"/>
    <w:rsid w:val="00084049"/>
    <w:rsid w:val="00092766"/>
    <w:rsid w:val="00097DC0"/>
    <w:rsid w:val="000A48F1"/>
    <w:rsid w:val="000C54F2"/>
    <w:rsid w:val="000C62B8"/>
    <w:rsid w:val="000C6546"/>
    <w:rsid w:val="000D20A7"/>
    <w:rsid w:val="000E6BD2"/>
    <w:rsid w:val="000F373C"/>
    <w:rsid w:val="001079B5"/>
    <w:rsid w:val="00111FDC"/>
    <w:rsid w:val="00113946"/>
    <w:rsid w:val="0011759E"/>
    <w:rsid w:val="001363E9"/>
    <w:rsid w:val="00136A5C"/>
    <w:rsid w:val="0014064F"/>
    <w:rsid w:val="00143A7C"/>
    <w:rsid w:val="00143B0B"/>
    <w:rsid w:val="00145E21"/>
    <w:rsid w:val="00153751"/>
    <w:rsid w:val="0015512D"/>
    <w:rsid w:val="0016678A"/>
    <w:rsid w:val="0017327E"/>
    <w:rsid w:val="00175F41"/>
    <w:rsid w:val="001775DB"/>
    <w:rsid w:val="00187224"/>
    <w:rsid w:val="001A44F5"/>
    <w:rsid w:val="001B1E6D"/>
    <w:rsid w:val="001C0A88"/>
    <w:rsid w:val="001D175B"/>
    <w:rsid w:val="001D2C31"/>
    <w:rsid w:val="001E01DA"/>
    <w:rsid w:val="001E03A5"/>
    <w:rsid w:val="001E4B7A"/>
    <w:rsid w:val="001F10A1"/>
    <w:rsid w:val="001F1EA6"/>
    <w:rsid w:val="001F37CC"/>
    <w:rsid w:val="001F5404"/>
    <w:rsid w:val="001F54C9"/>
    <w:rsid w:val="00202C92"/>
    <w:rsid w:val="00204BD2"/>
    <w:rsid w:val="00211104"/>
    <w:rsid w:val="0021217C"/>
    <w:rsid w:val="00221809"/>
    <w:rsid w:val="00221CE8"/>
    <w:rsid w:val="00221E61"/>
    <w:rsid w:val="002315F4"/>
    <w:rsid w:val="0023403B"/>
    <w:rsid w:val="00234B4E"/>
    <w:rsid w:val="00237767"/>
    <w:rsid w:val="002406FE"/>
    <w:rsid w:val="00240F48"/>
    <w:rsid w:val="00243E57"/>
    <w:rsid w:val="0024550A"/>
    <w:rsid w:val="002552FD"/>
    <w:rsid w:val="00260413"/>
    <w:rsid w:val="002605E7"/>
    <w:rsid w:val="00263B8E"/>
    <w:rsid w:val="00272649"/>
    <w:rsid w:val="00272D2A"/>
    <w:rsid w:val="00275173"/>
    <w:rsid w:val="00283A64"/>
    <w:rsid w:val="002851DF"/>
    <w:rsid w:val="00285690"/>
    <w:rsid w:val="0029124E"/>
    <w:rsid w:val="002927D2"/>
    <w:rsid w:val="0029453C"/>
    <w:rsid w:val="002A0B2F"/>
    <w:rsid w:val="002B2BFB"/>
    <w:rsid w:val="002B308B"/>
    <w:rsid w:val="002B479C"/>
    <w:rsid w:val="002C3379"/>
    <w:rsid w:val="002D1DFE"/>
    <w:rsid w:val="002D7B8D"/>
    <w:rsid w:val="002E3D64"/>
    <w:rsid w:val="002E7F56"/>
    <w:rsid w:val="002F493E"/>
    <w:rsid w:val="00307D0B"/>
    <w:rsid w:val="0031231D"/>
    <w:rsid w:val="00323179"/>
    <w:rsid w:val="0033698E"/>
    <w:rsid w:val="00336A3A"/>
    <w:rsid w:val="00337AB7"/>
    <w:rsid w:val="0034005F"/>
    <w:rsid w:val="0034035C"/>
    <w:rsid w:val="00363495"/>
    <w:rsid w:val="003709C6"/>
    <w:rsid w:val="003767FE"/>
    <w:rsid w:val="00380A6A"/>
    <w:rsid w:val="0039618F"/>
    <w:rsid w:val="003B4CF7"/>
    <w:rsid w:val="003B552E"/>
    <w:rsid w:val="003C1C02"/>
    <w:rsid w:val="003C5463"/>
    <w:rsid w:val="003D0DC9"/>
    <w:rsid w:val="003E4DB7"/>
    <w:rsid w:val="003F6036"/>
    <w:rsid w:val="003F7093"/>
    <w:rsid w:val="00403A27"/>
    <w:rsid w:val="0040437C"/>
    <w:rsid w:val="00406B1C"/>
    <w:rsid w:val="00407E76"/>
    <w:rsid w:val="00412C8D"/>
    <w:rsid w:val="00420075"/>
    <w:rsid w:val="00440594"/>
    <w:rsid w:val="0044317A"/>
    <w:rsid w:val="00453B49"/>
    <w:rsid w:val="004540A4"/>
    <w:rsid w:val="00463761"/>
    <w:rsid w:val="00464DA1"/>
    <w:rsid w:val="00466571"/>
    <w:rsid w:val="00466613"/>
    <w:rsid w:val="0046663B"/>
    <w:rsid w:val="00472917"/>
    <w:rsid w:val="004816DD"/>
    <w:rsid w:val="00482F4A"/>
    <w:rsid w:val="00487486"/>
    <w:rsid w:val="00491FC1"/>
    <w:rsid w:val="004A069B"/>
    <w:rsid w:val="004A0E08"/>
    <w:rsid w:val="004B43A4"/>
    <w:rsid w:val="004D4BF6"/>
    <w:rsid w:val="004D4FBE"/>
    <w:rsid w:val="004E0218"/>
    <w:rsid w:val="004E1E7B"/>
    <w:rsid w:val="004F1841"/>
    <w:rsid w:val="00506988"/>
    <w:rsid w:val="00512373"/>
    <w:rsid w:val="005128B6"/>
    <w:rsid w:val="00515315"/>
    <w:rsid w:val="005164E9"/>
    <w:rsid w:val="00522E3F"/>
    <w:rsid w:val="005232E1"/>
    <w:rsid w:val="00537934"/>
    <w:rsid w:val="00540C0D"/>
    <w:rsid w:val="005430E7"/>
    <w:rsid w:val="00544834"/>
    <w:rsid w:val="005468E4"/>
    <w:rsid w:val="00551F46"/>
    <w:rsid w:val="005530FE"/>
    <w:rsid w:val="00560330"/>
    <w:rsid w:val="00566C97"/>
    <w:rsid w:val="005867BB"/>
    <w:rsid w:val="00591F4E"/>
    <w:rsid w:val="005948C4"/>
    <w:rsid w:val="005B3AC4"/>
    <w:rsid w:val="005B5159"/>
    <w:rsid w:val="005D0EF2"/>
    <w:rsid w:val="005D30B4"/>
    <w:rsid w:val="005D6F54"/>
    <w:rsid w:val="005E2C8E"/>
    <w:rsid w:val="005E34F1"/>
    <w:rsid w:val="005F551A"/>
    <w:rsid w:val="005F6E8A"/>
    <w:rsid w:val="00614FEC"/>
    <w:rsid w:val="00615CA7"/>
    <w:rsid w:val="00616974"/>
    <w:rsid w:val="00631626"/>
    <w:rsid w:val="00631D58"/>
    <w:rsid w:val="006346C9"/>
    <w:rsid w:val="00640447"/>
    <w:rsid w:val="006500B8"/>
    <w:rsid w:val="006506C2"/>
    <w:rsid w:val="00652C39"/>
    <w:rsid w:val="00654C48"/>
    <w:rsid w:val="0066030E"/>
    <w:rsid w:val="00663A6B"/>
    <w:rsid w:val="006642A0"/>
    <w:rsid w:val="00674E3A"/>
    <w:rsid w:val="006832CE"/>
    <w:rsid w:val="0068511E"/>
    <w:rsid w:val="006938C1"/>
    <w:rsid w:val="006977C0"/>
    <w:rsid w:val="00697B35"/>
    <w:rsid w:val="00697BDA"/>
    <w:rsid w:val="006A6D91"/>
    <w:rsid w:val="006A7897"/>
    <w:rsid w:val="006C5CF5"/>
    <w:rsid w:val="006D0132"/>
    <w:rsid w:val="006D1062"/>
    <w:rsid w:val="006D15BB"/>
    <w:rsid w:val="006E5FA4"/>
    <w:rsid w:val="006F5D2A"/>
    <w:rsid w:val="006F7FD2"/>
    <w:rsid w:val="00703D19"/>
    <w:rsid w:val="00711473"/>
    <w:rsid w:val="00712840"/>
    <w:rsid w:val="00717019"/>
    <w:rsid w:val="00721BB2"/>
    <w:rsid w:val="00724D33"/>
    <w:rsid w:val="0073225B"/>
    <w:rsid w:val="00733751"/>
    <w:rsid w:val="00736808"/>
    <w:rsid w:val="00737778"/>
    <w:rsid w:val="00740149"/>
    <w:rsid w:val="0074374F"/>
    <w:rsid w:val="00743879"/>
    <w:rsid w:val="00744B4D"/>
    <w:rsid w:val="00745C66"/>
    <w:rsid w:val="00765A61"/>
    <w:rsid w:val="00781B86"/>
    <w:rsid w:val="007854B6"/>
    <w:rsid w:val="0078635D"/>
    <w:rsid w:val="00794EC9"/>
    <w:rsid w:val="007B1395"/>
    <w:rsid w:val="007C7D3F"/>
    <w:rsid w:val="007D1B18"/>
    <w:rsid w:val="007D7A9C"/>
    <w:rsid w:val="007F0A32"/>
    <w:rsid w:val="0080789F"/>
    <w:rsid w:val="008109CB"/>
    <w:rsid w:val="00831EFF"/>
    <w:rsid w:val="008336BF"/>
    <w:rsid w:val="00833A8E"/>
    <w:rsid w:val="00840DB7"/>
    <w:rsid w:val="00844B7E"/>
    <w:rsid w:val="00847B0C"/>
    <w:rsid w:val="008563E4"/>
    <w:rsid w:val="00866B98"/>
    <w:rsid w:val="00884577"/>
    <w:rsid w:val="00887276"/>
    <w:rsid w:val="00887387"/>
    <w:rsid w:val="00896352"/>
    <w:rsid w:val="008A3DC6"/>
    <w:rsid w:val="008B120E"/>
    <w:rsid w:val="008B1E3C"/>
    <w:rsid w:val="008B2E33"/>
    <w:rsid w:val="008B5540"/>
    <w:rsid w:val="008B57C4"/>
    <w:rsid w:val="008B6311"/>
    <w:rsid w:val="008C0802"/>
    <w:rsid w:val="008C63A7"/>
    <w:rsid w:val="008C75D8"/>
    <w:rsid w:val="008D5907"/>
    <w:rsid w:val="008E1096"/>
    <w:rsid w:val="008E4458"/>
    <w:rsid w:val="008E6656"/>
    <w:rsid w:val="008F084B"/>
    <w:rsid w:val="008F2346"/>
    <w:rsid w:val="008F75A6"/>
    <w:rsid w:val="00902985"/>
    <w:rsid w:val="0093312E"/>
    <w:rsid w:val="00940BA6"/>
    <w:rsid w:val="00941689"/>
    <w:rsid w:val="009418F4"/>
    <w:rsid w:val="009425C8"/>
    <w:rsid w:val="00952475"/>
    <w:rsid w:val="0095308E"/>
    <w:rsid w:val="0095514E"/>
    <w:rsid w:val="00956322"/>
    <w:rsid w:val="009573F1"/>
    <w:rsid w:val="0095797A"/>
    <w:rsid w:val="00966CF2"/>
    <w:rsid w:val="00967253"/>
    <w:rsid w:val="00971ADB"/>
    <w:rsid w:val="009747FA"/>
    <w:rsid w:val="00975A67"/>
    <w:rsid w:val="00981F00"/>
    <w:rsid w:val="00986293"/>
    <w:rsid w:val="00993FB7"/>
    <w:rsid w:val="009A12F8"/>
    <w:rsid w:val="009A4361"/>
    <w:rsid w:val="009A5D7B"/>
    <w:rsid w:val="009B6551"/>
    <w:rsid w:val="009D6F26"/>
    <w:rsid w:val="009E34C7"/>
    <w:rsid w:val="009F6FA6"/>
    <w:rsid w:val="00A04595"/>
    <w:rsid w:val="00A11C99"/>
    <w:rsid w:val="00A13DC6"/>
    <w:rsid w:val="00A220BF"/>
    <w:rsid w:val="00A24A75"/>
    <w:rsid w:val="00A268C9"/>
    <w:rsid w:val="00A26998"/>
    <w:rsid w:val="00A30985"/>
    <w:rsid w:val="00A33E4B"/>
    <w:rsid w:val="00A34794"/>
    <w:rsid w:val="00A37F97"/>
    <w:rsid w:val="00A45BEB"/>
    <w:rsid w:val="00A476F4"/>
    <w:rsid w:val="00A52D06"/>
    <w:rsid w:val="00A60F05"/>
    <w:rsid w:val="00A61214"/>
    <w:rsid w:val="00A73AA5"/>
    <w:rsid w:val="00A81053"/>
    <w:rsid w:val="00A84F19"/>
    <w:rsid w:val="00A879B4"/>
    <w:rsid w:val="00A9301F"/>
    <w:rsid w:val="00A93D98"/>
    <w:rsid w:val="00A94786"/>
    <w:rsid w:val="00A94C49"/>
    <w:rsid w:val="00AA1B15"/>
    <w:rsid w:val="00AA70E4"/>
    <w:rsid w:val="00AB0B33"/>
    <w:rsid w:val="00AB6826"/>
    <w:rsid w:val="00AE36FB"/>
    <w:rsid w:val="00AE4F8F"/>
    <w:rsid w:val="00AE7422"/>
    <w:rsid w:val="00AF0B4F"/>
    <w:rsid w:val="00AF456F"/>
    <w:rsid w:val="00AF6248"/>
    <w:rsid w:val="00B00EEF"/>
    <w:rsid w:val="00B03CA6"/>
    <w:rsid w:val="00B048D9"/>
    <w:rsid w:val="00B16EC0"/>
    <w:rsid w:val="00B22123"/>
    <w:rsid w:val="00B2787D"/>
    <w:rsid w:val="00B301EE"/>
    <w:rsid w:val="00B32C53"/>
    <w:rsid w:val="00B44CC7"/>
    <w:rsid w:val="00B52695"/>
    <w:rsid w:val="00B75E13"/>
    <w:rsid w:val="00B825E0"/>
    <w:rsid w:val="00BA0302"/>
    <w:rsid w:val="00BA0800"/>
    <w:rsid w:val="00BA2C28"/>
    <w:rsid w:val="00BB0029"/>
    <w:rsid w:val="00BC3477"/>
    <w:rsid w:val="00BC57AC"/>
    <w:rsid w:val="00BC666F"/>
    <w:rsid w:val="00BD2532"/>
    <w:rsid w:val="00BD7A6B"/>
    <w:rsid w:val="00BE02B7"/>
    <w:rsid w:val="00BE0309"/>
    <w:rsid w:val="00BE363F"/>
    <w:rsid w:val="00BE7262"/>
    <w:rsid w:val="00BF1115"/>
    <w:rsid w:val="00BF22E8"/>
    <w:rsid w:val="00BF6B15"/>
    <w:rsid w:val="00C063BC"/>
    <w:rsid w:val="00C06C0B"/>
    <w:rsid w:val="00C103DA"/>
    <w:rsid w:val="00C1207D"/>
    <w:rsid w:val="00C14713"/>
    <w:rsid w:val="00C14D99"/>
    <w:rsid w:val="00C21AAB"/>
    <w:rsid w:val="00C307B6"/>
    <w:rsid w:val="00C33D35"/>
    <w:rsid w:val="00C344FD"/>
    <w:rsid w:val="00C447FB"/>
    <w:rsid w:val="00C47526"/>
    <w:rsid w:val="00C55B49"/>
    <w:rsid w:val="00C64EBF"/>
    <w:rsid w:val="00C70D1F"/>
    <w:rsid w:val="00C772D5"/>
    <w:rsid w:val="00C777D3"/>
    <w:rsid w:val="00C9055B"/>
    <w:rsid w:val="00C91163"/>
    <w:rsid w:val="00CA3D4F"/>
    <w:rsid w:val="00CA4429"/>
    <w:rsid w:val="00CB256B"/>
    <w:rsid w:val="00CB3FA2"/>
    <w:rsid w:val="00CC2663"/>
    <w:rsid w:val="00CC2C9E"/>
    <w:rsid w:val="00CD206C"/>
    <w:rsid w:val="00CD2FB9"/>
    <w:rsid w:val="00CD5570"/>
    <w:rsid w:val="00CD6865"/>
    <w:rsid w:val="00CD7D46"/>
    <w:rsid w:val="00CF0B3C"/>
    <w:rsid w:val="00CF1DDC"/>
    <w:rsid w:val="00CF49D1"/>
    <w:rsid w:val="00D02EEF"/>
    <w:rsid w:val="00D04623"/>
    <w:rsid w:val="00D05144"/>
    <w:rsid w:val="00D075C1"/>
    <w:rsid w:val="00D17BC8"/>
    <w:rsid w:val="00D20A63"/>
    <w:rsid w:val="00D23552"/>
    <w:rsid w:val="00D23E80"/>
    <w:rsid w:val="00D25884"/>
    <w:rsid w:val="00D32127"/>
    <w:rsid w:val="00D33005"/>
    <w:rsid w:val="00D452E0"/>
    <w:rsid w:val="00D51712"/>
    <w:rsid w:val="00D60BBB"/>
    <w:rsid w:val="00D62CB8"/>
    <w:rsid w:val="00D77955"/>
    <w:rsid w:val="00D77B6F"/>
    <w:rsid w:val="00D802C9"/>
    <w:rsid w:val="00D81E66"/>
    <w:rsid w:val="00D8526C"/>
    <w:rsid w:val="00D871C8"/>
    <w:rsid w:val="00D87FC2"/>
    <w:rsid w:val="00DA55E3"/>
    <w:rsid w:val="00DA6220"/>
    <w:rsid w:val="00DA7E0B"/>
    <w:rsid w:val="00DB382B"/>
    <w:rsid w:val="00DB6204"/>
    <w:rsid w:val="00DB6A79"/>
    <w:rsid w:val="00DB6F76"/>
    <w:rsid w:val="00DC2236"/>
    <w:rsid w:val="00DC239D"/>
    <w:rsid w:val="00DC2697"/>
    <w:rsid w:val="00DC30BA"/>
    <w:rsid w:val="00DD4026"/>
    <w:rsid w:val="00DD4194"/>
    <w:rsid w:val="00DD725A"/>
    <w:rsid w:val="00DE11A0"/>
    <w:rsid w:val="00DE13AB"/>
    <w:rsid w:val="00DE7BC5"/>
    <w:rsid w:val="00E11640"/>
    <w:rsid w:val="00E14B7C"/>
    <w:rsid w:val="00E21319"/>
    <w:rsid w:val="00E30085"/>
    <w:rsid w:val="00E45D4F"/>
    <w:rsid w:val="00E52B93"/>
    <w:rsid w:val="00E639A1"/>
    <w:rsid w:val="00E71E9E"/>
    <w:rsid w:val="00E769F7"/>
    <w:rsid w:val="00E818B7"/>
    <w:rsid w:val="00E84067"/>
    <w:rsid w:val="00E847C4"/>
    <w:rsid w:val="00E8531B"/>
    <w:rsid w:val="00E91404"/>
    <w:rsid w:val="00E931BC"/>
    <w:rsid w:val="00E946A7"/>
    <w:rsid w:val="00E95DE9"/>
    <w:rsid w:val="00EA2394"/>
    <w:rsid w:val="00EA46A5"/>
    <w:rsid w:val="00EA5764"/>
    <w:rsid w:val="00EB18DE"/>
    <w:rsid w:val="00EC0050"/>
    <w:rsid w:val="00EC0C56"/>
    <w:rsid w:val="00EC3F0D"/>
    <w:rsid w:val="00EC6174"/>
    <w:rsid w:val="00ED215C"/>
    <w:rsid w:val="00ED4A7D"/>
    <w:rsid w:val="00EE11DC"/>
    <w:rsid w:val="00EE7215"/>
    <w:rsid w:val="00EE7CC0"/>
    <w:rsid w:val="00EF3F44"/>
    <w:rsid w:val="00EF40E8"/>
    <w:rsid w:val="00EF5EE5"/>
    <w:rsid w:val="00F03EE8"/>
    <w:rsid w:val="00F04F9C"/>
    <w:rsid w:val="00F16DEA"/>
    <w:rsid w:val="00F231D8"/>
    <w:rsid w:val="00F31EF3"/>
    <w:rsid w:val="00F3307B"/>
    <w:rsid w:val="00F330AF"/>
    <w:rsid w:val="00F445C3"/>
    <w:rsid w:val="00F44F04"/>
    <w:rsid w:val="00F4621D"/>
    <w:rsid w:val="00F51528"/>
    <w:rsid w:val="00F51BDF"/>
    <w:rsid w:val="00F6332B"/>
    <w:rsid w:val="00F711F9"/>
    <w:rsid w:val="00F714E3"/>
    <w:rsid w:val="00F74014"/>
    <w:rsid w:val="00F744DC"/>
    <w:rsid w:val="00F856D0"/>
    <w:rsid w:val="00F9675E"/>
    <w:rsid w:val="00FA4D05"/>
    <w:rsid w:val="00FA5406"/>
    <w:rsid w:val="00FB3F74"/>
    <w:rsid w:val="00FB47DA"/>
    <w:rsid w:val="00FB540F"/>
    <w:rsid w:val="00FB5D24"/>
    <w:rsid w:val="00FB6776"/>
    <w:rsid w:val="00FC13D1"/>
    <w:rsid w:val="00FC1A17"/>
    <w:rsid w:val="00FC5B37"/>
    <w:rsid w:val="00FD70B7"/>
    <w:rsid w:val="00FE366D"/>
    <w:rsid w:val="00FE3F83"/>
    <w:rsid w:val="00FE527B"/>
    <w:rsid w:val="00FF0051"/>
    <w:rsid w:val="00FF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D3ED"/>
  <w15:chartTrackingRefBased/>
  <w15:docId w15:val="{B850186E-7DF3-426A-9EB7-A1DCFDD7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0FE"/>
    <w:rPr>
      <w:rFonts w:eastAsiaTheme="majorEastAsia" w:cstheme="majorBidi"/>
      <w:color w:val="272727" w:themeColor="text1" w:themeTint="D8"/>
    </w:rPr>
  </w:style>
  <w:style w:type="paragraph" w:styleId="Title">
    <w:name w:val="Title"/>
    <w:basedOn w:val="Normal"/>
    <w:next w:val="Normal"/>
    <w:link w:val="TitleChar"/>
    <w:uiPriority w:val="10"/>
    <w:qFormat/>
    <w:rsid w:val="00553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0FE"/>
    <w:pPr>
      <w:spacing w:before="160"/>
      <w:jc w:val="center"/>
    </w:pPr>
    <w:rPr>
      <w:i/>
      <w:iCs/>
      <w:color w:val="404040" w:themeColor="text1" w:themeTint="BF"/>
    </w:rPr>
  </w:style>
  <w:style w:type="character" w:customStyle="1" w:styleId="QuoteChar">
    <w:name w:val="Quote Char"/>
    <w:basedOn w:val="DefaultParagraphFont"/>
    <w:link w:val="Quote"/>
    <w:uiPriority w:val="29"/>
    <w:rsid w:val="005530FE"/>
    <w:rPr>
      <w:i/>
      <w:iCs/>
      <w:color w:val="404040" w:themeColor="text1" w:themeTint="BF"/>
    </w:rPr>
  </w:style>
  <w:style w:type="paragraph" w:styleId="ListParagraph">
    <w:name w:val="List Paragraph"/>
    <w:basedOn w:val="Normal"/>
    <w:uiPriority w:val="34"/>
    <w:qFormat/>
    <w:rsid w:val="005530FE"/>
    <w:pPr>
      <w:ind w:left="720"/>
      <w:contextualSpacing/>
    </w:pPr>
  </w:style>
  <w:style w:type="character" w:styleId="IntenseEmphasis">
    <w:name w:val="Intense Emphasis"/>
    <w:basedOn w:val="DefaultParagraphFont"/>
    <w:uiPriority w:val="21"/>
    <w:qFormat/>
    <w:rsid w:val="005530FE"/>
    <w:rPr>
      <w:i/>
      <w:iCs/>
      <w:color w:val="0F4761" w:themeColor="accent1" w:themeShade="BF"/>
    </w:rPr>
  </w:style>
  <w:style w:type="paragraph" w:styleId="IntenseQuote">
    <w:name w:val="Intense Quote"/>
    <w:basedOn w:val="Normal"/>
    <w:next w:val="Normal"/>
    <w:link w:val="IntenseQuoteChar"/>
    <w:uiPriority w:val="30"/>
    <w:qFormat/>
    <w:rsid w:val="00553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0FE"/>
    <w:rPr>
      <w:i/>
      <w:iCs/>
      <w:color w:val="0F4761" w:themeColor="accent1" w:themeShade="BF"/>
    </w:rPr>
  </w:style>
  <w:style w:type="character" w:styleId="IntenseReference">
    <w:name w:val="Intense Reference"/>
    <w:basedOn w:val="DefaultParagraphFont"/>
    <w:uiPriority w:val="32"/>
    <w:qFormat/>
    <w:rsid w:val="005530FE"/>
    <w:rPr>
      <w:b/>
      <w:bCs/>
      <w:smallCaps/>
      <w:color w:val="0F4761" w:themeColor="accent1" w:themeShade="BF"/>
      <w:spacing w:val="5"/>
    </w:rPr>
  </w:style>
  <w:style w:type="character" w:styleId="Hyperlink">
    <w:name w:val="Hyperlink"/>
    <w:basedOn w:val="DefaultParagraphFont"/>
    <w:uiPriority w:val="99"/>
    <w:unhideWhenUsed/>
    <w:rsid w:val="00B22123"/>
    <w:rPr>
      <w:color w:val="467886" w:themeColor="hyperlink"/>
      <w:u w:val="single"/>
    </w:rPr>
  </w:style>
  <w:style w:type="character" w:styleId="UnresolvedMention">
    <w:name w:val="Unresolved Mention"/>
    <w:basedOn w:val="DefaultParagraphFont"/>
    <w:uiPriority w:val="99"/>
    <w:semiHidden/>
    <w:unhideWhenUsed/>
    <w:rsid w:val="00B22123"/>
    <w:rPr>
      <w:color w:val="605E5C"/>
      <w:shd w:val="clear" w:color="auto" w:fill="E1DFDD"/>
    </w:rPr>
  </w:style>
  <w:style w:type="character" w:styleId="FollowedHyperlink">
    <w:name w:val="FollowedHyperlink"/>
    <w:basedOn w:val="DefaultParagraphFont"/>
    <w:uiPriority w:val="99"/>
    <w:semiHidden/>
    <w:unhideWhenUsed/>
    <w:rsid w:val="002604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28/aem.56.6.1875-1881.199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111/j.1745-4581.1994.tb00308.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28/mBio.01378-20" TargetMode="External"/><Relationship Id="rId5" Type="http://schemas.openxmlformats.org/officeDocument/2006/relationships/hyperlink" Target="mailto:fred.breidt@usda.gov"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i.org/10.1016/0168-1605(94)901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Breidt, Fred - REE-ARS</dc:creator>
  <cp:keywords/>
  <dc:description/>
  <cp:lastModifiedBy>Breidt, Fred - REE-ARS</cp:lastModifiedBy>
  <cp:revision>122</cp:revision>
  <cp:lastPrinted>2025-09-03T20:55:00Z</cp:lastPrinted>
  <dcterms:created xsi:type="dcterms:W3CDTF">2025-09-03T19:33:00Z</dcterms:created>
  <dcterms:modified xsi:type="dcterms:W3CDTF">2025-09-05T14:57:00Z</dcterms:modified>
</cp:coreProperties>
</file>