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68DE" w14:textId="77777777" w:rsidR="00EF655D" w:rsidRPr="00B25303" w:rsidRDefault="00CB2988">
      <w:pPr>
        <w:spacing w:after="219" w:line="259" w:lineRule="auto"/>
        <w:ind w:left="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0CBC03F0" w14:textId="77777777" w:rsidR="00EF655D" w:rsidRPr="00B25303" w:rsidRDefault="00CB2988">
      <w:pPr>
        <w:pStyle w:val="Heading1"/>
        <w:tabs>
          <w:tab w:val="center" w:pos="1308"/>
        </w:tabs>
        <w:spacing w:after="106"/>
        <w:ind w:left="0" w:firstLine="0"/>
        <w:rPr>
          <w:rFonts w:ascii="Times New Roman" w:hAnsi="Times New Roman" w:cs="Times New Roman"/>
          <w:sz w:val="20"/>
          <w:szCs w:val="20"/>
        </w:rPr>
      </w:pPr>
      <w:r w:rsidRPr="00B25303">
        <w:rPr>
          <w:rFonts w:ascii="Times New Roman" w:hAnsi="Times New Roman" w:cs="Times New Roman"/>
          <w:sz w:val="20"/>
          <w:szCs w:val="20"/>
        </w:rPr>
        <w:t xml:space="preserve">I. </w:t>
      </w:r>
      <w:r w:rsidRPr="00B25303">
        <w:rPr>
          <w:rFonts w:ascii="Times New Roman" w:hAnsi="Times New Roman" w:cs="Times New Roman"/>
          <w:sz w:val="20"/>
          <w:szCs w:val="20"/>
        </w:rPr>
        <w:tab/>
        <w:t xml:space="preserve">PURPOSE  </w:t>
      </w:r>
    </w:p>
    <w:p w14:paraId="23EFC842" w14:textId="77777777" w:rsidR="00EF655D" w:rsidRPr="00B25303" w:rsidRDefault="00CB2988">
      <w:pPr>
        <w:rPr>
          <w:rFonts w:ascii="Times New Roman" w:hAnsi="Times New Roman" w:cs="Times New Roman"/>
          <w:sz w:val="20"/>
          <w:szCs w:val="20"/>
        </w:rPr>
      </w:pPr>
      <w:r w:rsidRPr="00B25303">
        <w:rPr>
          <w:rFonts w:ascii="Times New Roman" w:hAnsi="Times New Roman" w:cs="Times New Roman"/>
          <w:sz w:val="20"/>
          <w:szCs w:val="20"/>
        </w:rPr>
        <w:t>This technical interpretation describes the steps to replace Superfund appropriated (fund code T) resources with SSC (fund code TR1) resources, through either reclassifications or obligation modifications. These procedures should be initiated by the region</w:t>
      </w:r>
      <w:r w:rsidRPr="00B25303">
        <w:rPr>
          <w:rFonts w:ascii="Times New Roman" w:hAnsi="Times New Roman" w:cs="Times New Roman"/>
          <w:sz w:val="20"/>
          <w:szCs w:val="20"/>
        </w:rPr>
        <w:t xml:space="preserve">al program </w:t>
      </w:r>
      <w:proofErr w:type="gramStart"/>
      <w:r w:rsidRPr="00B25303">
        <w:rPr>
          <w:rFonts w:ascii="Times New Roman" w:hAnsi="Times New Roman" w:cs="Times New Roman"/>
          <w:sz w:val="20"/>
          <w:szCs w:val="20"/>
        </w:rPr>
        <w:t>office</w:t>
      </w:r>
      <w:proofErr w:type="gramEnd"/>
      <w:r w:rsidRPr="00B25303">
        <w:rPr>
          <w:rFonts w:ascii="Times New Roman" w:hAnsi="Times New Roman" w:cs="Times New Roman"/>
          <w:sz w:val="20"/>
          <w:szCs w:val="20"/>
        </w:rPr>
        <w:t xml:space="preserve"> but both the regional program office and the regional finance/budget office have joint responsibility to implement them. </w:t>
      </w:r>
    </w:p>
    <w:p w14:paraId="40E25D0D" w14:textId="77777777" w:rsidR="00EF655D" w:rsidRPr="00B25303" w:rsidRDefault="00CB2988">
      <w:pPr>
        <w:spacing w:after="0" w:line="259" w:lineRule="auto"/>
        <w:ind w:left="360" w:firstLine="0"/>
        <w:rPr>
          <w:rFonts w:ascii="Times New Roman" w:hAnsi="Times New Roman" w:cs="Times New Roman"/>
          <w:sz w:val="20"/>
          <w:szCs w:val="20"/>
        </w:rPr>
      </w:pPr>
      <w:r w:rsidRPr="00B25303">
        <w:rPr>
          <w:rFonts w:ascii="Times New Roman" w:hAnsi="Times New Roman" w:cs="Times New Roman"/>
          <w:b/>
          <w:sz w:val="20"/>
          <w:szCs w:val="20"/>
        </w:rPr>
        <w:t xml:space="preserve"> </w:t>
      </w:r>
    </w:p>
    <w:p w14:paraId="471883BB" w14:textId="77777777" w:rsidR="00EF655D" w:rsidRPr="00B25303" w:rsidRDefault="00CB2988">
      <w:pPr>
        <w:tabs>
          <w:tab w:val="center" w:pos="1773"/>
        </w:tabs>
        <w:spacing w:after="0" w:line="259" w:lineRule="auto"/>
        <w:ind w:left="0" w:firstLine="0"/>
        <w:rPr>
          <w:rFonts w:ascii="Times New Roman" w:hAnsi="Times New Roman" w:cs="Times New Roman"/>
          <w:sz w:val="20"/>
          <w:szCs w:val="20"/>
        </w:rPr>
      </w:pPr>
      <w:r w:rsidRPr="00B25303">
        <w:rPr>
          <w:rFonts w:ascii="Times New Roman" w:hAnsi="Times New Roman" w:cs="Times New Roman"/>
          <w:b/>
          <w:sz w:val="20"/>
          <w:szCs w:val="20"/>
        </w:rPr>
        <w:t xml:space="preserve">II.  </w:t>
      </w:r>
      <w:r w:rsidRPr="00B25303">
        <w:rPr>
          <w:rFonts w:ascii="Times New Roman" w:hAnsi="Times New Roman" w:cs="Times New Roman"/>
          <w:b/>
          <w:sz w:val="20"/>
          <w:szCs w:val="20"/>
        </w:rPr>
        <w:tab/>
        <w:t xml:space="preserve">INTERPRETATION </w:t>
      </w:r>
    </w:p>
    <w:p w14:paraId="128265C4" w14:textId="77777777" w:rsidR="00EF655D" w:rsidRPr="00B25303" w:rsidRDefault="00CB2988">
      <w:pPr>
        <w:spacing w:after="0" w:line="259" w:lineRule="auto"/>
        <w:ind w:left="360" w:firstLine="0"/>
        <w:rPr>
          <w:rFonts w:ascii="Times New Roman" w:hAnsi="Times New Roman" w:cs="Times New Roman"/>
          <w:sz w:val="20"/>
          <w:szCs w:val="20"/>
        </w:rPr>
      </w:pPr>
      <w:r w:rsidRPr="00B25303">
        <w:rPr>
          <w:rFonts w:ascii="Times New Roman" w:hAnsi="Times New Roman" w:cs="Times New Roman"/>
          <w:b/>
          <w:sz w:val="20"/>
          <w:szCs w:val="20"/>
        </w:rPr>
        <w:t xml:space="preserve"> </w:t>
      </w:r>
    </w:p>
    <w:p w14:paraId="2F86D8F6" w14:textId="77777777" w:rsidR="00EF655D" w:rsidRPr="00B25303" w:rsidRDefault="00CB2988">
      <w:pPr>
        <w:pStyle w:val="Heading1"/>
        <w:ind w:left="715"/>
        <w:rPr>
          <w:rFonts w:ascii="Times New Roman" w:hAnsi="Times New Roman" w:cs="Times New Roman"/>
          <w:sz w:val="20"/>
          <w:szCs w:val="20"/>
        </w:rPr>
      </w:pPr>
      <w:r w:rsidRPr="00B25303">
        <w:rPr>
          <w:rFonts w:ascii="Times New Roman" w:hAnsi="Times New Roman" w:cs="Times New Roman"/>
          <w:sz w:val="20"/>
          <w:szCs w:val="20"/>
        </w:rPr>
        <w:t xml:space="preserve">A. Determine SSC Amounts Available </w:t>
      </w:r>
    </w:p>
    <w:p w14:paraId="633E1727" w14:textId="77777777" w:rsidR="00EF655D" w:rsidRPr="00B25303" w:rsidRDefault="00CB2988">
      <w:pPr>
        <w:spacing w:after="0" w:line="259" w:lineRule="auto"/>
        <w:ind w:left="1440" w:firstLine="0"/>
        <w:rPr>
          <w:rFonts w:ascii="Times New Roman" w:hAnsi="Times New Roman" w:cs="Times New Roman"/>
          <w:sz w:val="20"/>
          <w:szCs w:val="20"/>
        </w:rPr>
      </w:pPr>
      <w:r w:rsidRPr="00B25303">
        <w:rPr>
          <w:rFonts w:ascii="Times New Roman" w:hAnsi="Times New Roman" w:cs="Times New Roman"/>
          <w:b/>
          <w:sz w:val="20"/>
          <w:szCs w:val="20"/>
        </w:rPr>
        <w:t xml:space="preserve"> </w:t>
      </w:r>
    </w:p>
    <w:p w14:paraId="600B1F70" w14:textId="77777777" w:rsidR="00EF655D" w:rsidRPr="00B25303" w:rsidRDefault="00CB2988">
      <w:pPr>
        <w:numPr>
          <w:ilvl w:val="0"/>
          <w:numId w:val="1"/>
        </w:numPr>
        <w:ind w:hanging="360"/>
        <w:rPr>
          <w:rFonts w:ascii="Times New Roman" w:hAnsi="Times New Roman" w:cs="Times New Roman"/>
          <w:sz w:val="20"/>
          <w:szCs w:val="20"/>
        </w:rPr>
      </w:pPr>
      <w:r w:rsidRPr="00B25303">
        <w:rPr>
          <w:rFonts w:ascii="Times New Roman" w:hAnsi="Times New Roman" w:cs="Times New Roman"/>
          <w:sz w:val="20"/>
          <w:szCs w:val="20"/>
        </w:rPr>
        <w:t xml:space="preserve">Review the SSC account to identify available TR1 resources and to confirm that: </w:t>
      </w:r>
      <w:r w:rsidRPr="00B25303">
        <w:rPr>
          <w:rFonts w:ascii="Times New Roman" w:hAnsi="Times New Roman" w:cs="Times New Roman"/>
          <w:b/>
          <w:sz w:val="20"/>
          <w:szCs w:val="20"/>
        </w:rPr>
        <w:t xml:space="preserve"> </w:t>
      </w:r>
    </w:p>
    <w:p w14:paraId="25C1F796" w14:textId="77777777" w:rsidR="00EF655D" w:rsidRPr="00B25303" w:rsidRDefault="00CB2988">
      <w:pPr>
        <w:spacing w:after="0" w:line="259" w:lineRule="auto"/>
        <w:ind w:left="1440" w:firstLine="0"/>
        <w:rPr>
          <w:rFonts w:ascii="Times New Roman" w:hAnsi="Times New Roman" w:cs="Times New Roman"/>
          <w:sz w:val="20"/>
          <w:szCs w:val="20"/>
        </w:rPr>
      </w:pPr>
      <w:r w:rsidRPr="00B25303">
        <w:rPr>
          <w:rFonts w:ascii="Times New Roman" w:hAnsi="Times New Roman" w:cs="Times New Roman"/>
          <w:b/>
          <w:sz w:val="20"/>
          <w:szCs w:val="20"/>
        </w:rPr>
        <w:t xml:space="preserve"> </w:t>
      </w:r>
    </w:p>
    <w:p w14:paraId="1D43FE8D" w14:textId="77777777" w:rsidR="00EF655D" w:rsidRPr="00B25303" w:rsidRDefault="00CB2988">
      <w:pPr>
        <w:numPr>
          <w:ilvl w:val="1"/>
          <w:numId w:val="1"/>
        </w:numPr>
        <w:ind w:hanging="360"/>
        <w:rPr>
          <w:rFonts w:ascii="Times New Roman" w:hAnsi="Times New Roman" w:cs="Times New Roman"/>
          <w:sz w:val="20"/>
          <w:szCs w:val="20"/>
        </w:rPr>
      </w:pPr>
      <w:r w:rsidRPr="00B25303">
        <w:rPr>
          <w:rFonts w:ascii="Times New Roman" w:eastAsia="Calibri" w:hAnsi="Times New Roman" w:cs="Times New Roman"/>
          <w:noProof/>
          <w:sz w:val="20"/>
          <w:szCs w:val="20"/>
        </w:rPr>
        <mc:AlternateContent>
          <mc:Choice Requires="wpg">
            <w:drawing>
              <wp:anchor distT="0" distB="0" distL="114300" distR="114300" simplePos="0" relativeHeight="251658240" behindDoc="0" locked="0" layoutInCell="1" allowOverlap="1" wp14:anchorId="33633DA6" wp14:editId="0140CCE5">
                <wp:simplePos x="0" y="0"/>
                <wp:positionH relativeFrom="page">
                  <wp:posOffset>571500</wp:posOffset>
                </wp:positionH>
                <wp:positionV relativeFrom="page">
                  <wp:posOffset>1277366</wp:posOffset>
                </wp:positionV>
                <wp:extent cx="9144" cy="280416"/>
                <wp:effectExtent l="0" t="0" r="0" b="0"/>
                <wp:wrapTopAndBottom/>
                <wp:docPr id="2910" name="Group 2910"/>
                <wp:cNvGraphicFramePr/>
                <a:graphic xmlns:a="http://schemas.openxmlformats.org/drawingml/2006/main">
                  <a:graphicData uri="http://schemas.microsoft.com/office/word/2010/wordprocessingGroup">
                    <wpg:wgp>
                      <wpg:cNvGrpSpPr/>
                      <wpg:grpSpPr>
                        <a:xfrm>
                          <a:off x="0" y="0"/>
                          <a:ext cx="9144" cy="280416"/>
                          <a:chOff x="0" y="0"/>
                          <a:chExt cx="9144" cy="280416"/>
                        </a:xfrm>
                      </wpg:grpSpPr>
                      <wps:wsp>
                        <wps:cNvPr id="3312" name="Shape 3312"/>
                        <wps:cNvSpPr/>
                        <wps:spPr>
                          <a:xfrm>
                            <a:off x="0" y="0"/>
                            <a:ext cx="9144" cy="280416"/>
                          </a:xfrm>
                          <a:custGeom>
                            <a:avLst/>
                            <a:gdLst/>
                            <a:ahLst/>
                            <a:cxnLst/>
                            <a:rect l="0" t="0" r="0" b="0"/>
                            <a:pathLst>
                              <a:path w="9144" h="280416">
                                <a:moveTo>
                                  <a:pt x="0" y="0"/>
                                </a:moveTo>
                                <a:lnTo>
                                  <a:pt x="9144" y="0"/>
                                </a:lnTo>
                                <a:lnTo>
                                  <a:pt x="9144" y="280416"/>
                                </a:lnTo>
                                <a:lnTo>
                                  <a:pt x="0" y="2804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0" style="width:0.720001pt;height:22.08pt;position:absolute;mso-position-horizontal-relative:page;mso-position-horizontal:absolute;margin-left:45pt;mso-position-vertical-relative:page;margin-top:100.58pt;" coordsize="91,2804">
                <v:shape id="Shape 3313" style="position:absolute;width:91;height:2804;left:0;top:0;" coordsize="9144,280416" path="m0,0l9144,0l9144,280416l0,280416l0,0">
                  <v:stroke weight="0pt" endcap="flat" joinstyle="miter" miterlimit="10" on="false" color="#000000" opacity="0"/>
                  <v:fill on="true" color="#000000"/>
                </v:shape>
                <w10:wrap type="topAndBottom"/>
              </v:group>
            </w:pict>
          </mc:Fallback>
        </mc:AlternateContent>
      </w:r>
      <w:r w:rsidRPr="00B25303">
        <w:rPr>
          <w:rFonts w:ascii="Times New Roman" w:hAnsi="Times New Roman" w:cs="Times New Roman"/>
          <w:sz w:val="20"/>
          <w:szCs w:val="20"/>
        </w:rPr>
        <w:t>State cost share collections are current per the signed SSC agreement.</w:t>
      </w:r>
      <w:r w:rsidRPr="00B25303">
        <w:rPr>
          <w:rFonts w:ascii="Times New Roman" w:hAnsi="Times New Roman" w:cs="Times New Roman"/>
          <w:b/>
          <w:sz w:val="20"/>
          <w:szCs w:val="20"/>
        </w:rPr>
        <w:t xml:space="preserve"> </w:t>
      </w:r>
    </w:p>
    <w:p w14:paraId="54891E85" w14:textId="77777777" w:rsidR="00EF655D" w:rsidRPr="00B25303" w:rsidRDefault="00CB2988">
      <w:pPr>
        <w:numPr>
          <w:ilvl w:val="1"/>
          <w:numId w:val="1"/>
        </w:numPr>
        <w:ind w:hanging="360"/>
        <w:rPr>
          <w:rFonts w:ascii="Times New Roman" w:hAnsi="Times New Roman" w:cs="Times New Roman"/>
          <w:sz w:val="20"/>
          <w:szCs w:val="20"/>
        </w:rPr>
      </w:pPr>
      <w:r w:rsidRPr="00B25303">
        <w:rPr>
          <w:rFonts w:ascii="Times New Roman" w:hAnsi="Times New Roman" w:cs="Times New Roman"/>
          <w:sz w:val="20"/>
          <w:szCs w:val="20"/>
        </w:rPr>
        <w:t xml:space="preserve">Overpayments are reflected in the agency’s financial system of record.   </w:t>
      </w:r>
    </w:p>
    <w:p w14:paraId="2B64B01B" w14:textId="77777777" w:rsidR="00EF655D" w:rsidRPr="00B25303" w:rsidRDefault="00CB2988">
      <w:pPr>
        <w:spacing w:after="0" w:line="259" w:lineRule="auto"/>
        <w:ind w:left="1800" w:firstLine="0"/>
        <w:rPr>
          <w:rFonts w:ascii="Times New Roman" w:hAnsi="Times New Roman" w:cs="Times New Roman"/>
          <w:sz w:val="20"/>
          <w:szCs w:val="20"/>
        </w:rPr>
      </w:pPr>
      <w:r w:rsidRPr="00B25303">
        <w:rPr>
          <w:rFonts w:ascii="Times New Roman" w:hAnsi="Times New Roman" w:cs="Times New Roman"/>
          <w:b/>
          <w:sz w:val="20"/>
          <w:szCs w:val="20"/>
        </w:rPr>
        <w:t xml:space="preserve"> </w:t>
      </w:r>
    </w:p>
    <w:p w14:paraId="50C4C2D7" w14:textId="77777777" w:rsidR="00EF655D" w:rsidRPr="00B25303" w:rsidRDefault="00CB2988">
      <w:pPr>
        <w:numPr>
          <w:ilvl w:val="0"/>
          <w:numId w:val="1"/>
        </w:numPr>
        <w:ind w:hanging="360"/>
        <w:rPr>
          <w:rFonts w:ascii="Times New Roman" w:hAnsi="Times New Roman" w:cs="Times New Roman"/>
          <w:sz w:val="20"/>
          <w:szCs w:val="20"/>
        </w:rPr>
      </w:pPr>
      <w:r w:rsidRPr="00B25303">
        <w:rPr>
          <w:rFonts w:ascii="Times New Roman" w:hAnsi="Times New Roman" w:cs="Times New Roman"/>
          <w:sz w:val="20"/>
          <w:szCs w:val="20"/>
        </w:rPr>
        <w:t xml:space="preserve">Advise the Cincinnati Finance Center of any changes that need to be made to accounts receivables and collections for the SSC account.  </w:t>
      </w:r>
    </w:p>
    <w:p w14:paraId="27739370" w14:textId="77777777" w:rsidR="00EF655D" w:rsidRPr="00B25303" w:rsidRDefault="00CB2988">
      <w:pPr>
        <w:spacing w:after="0" w:line="259" w:lineRule="auto"/>
        <w:ind w:left="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17EC07A8" w14:textId="77777777" w:rsidR="00EF655D" w:rsidRPr="00B25303" w:rsidRDefault="00CB2988">
      <w:pPr>
        <w:pStyle w:val="Heading1"/>
        <w:ind w:left="715"/>
        <w:rPr>
          <w:rFonts w:ascii="Times New Roman" w:hAnsi="Times New Roman" w:cs="Times New Roman"/>
          <w:sz w:val="20"/>
          <w:szCs w:val="20"/>
        </w:rPr>
      </w:pPr>
      <w:r w:rsidRPr="00B25303">
        <w:rPr>
          <w:rFonts w:ascii="Times New Roman" w:hAnsi="Times New Roman" w:cs="Times New Roman"/>
          <w:sz w:val="20"/>
          <w:szCs w:val="20"/>
        </w:rPr>
        <w:t xml:space="preserve">B. Identify Previous T Transactions for Replacement </w:t>
      </w:r>
    </w:p>
    <w:p w14:paraId="54EE74F2" w14:textId="77777777" w:rsidR="00EF655D" w:rsidRPr="00B25303" w:rsidRDefault="00CB2988">
      <w:pPr>
        <w:spacing w:after="0" w:line="259" w:lineRule="auto"/>
        <w:ind w:left="36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5B095B9A" w14:textId="77777777" w:rsidR="00EF655D" w:rsidRPr="00B25303" w:rsidRDefault="00CB2988">
      <w:pPr>
        <w:ind w:left="1075"/>
        <w:rPr>
          <w:rFonts w:ascii="Times New Roman" w:hAnsi="Times New Roman" w:cs="Times New Roman"/>
          <w:sz w:val="20"/>
          <w:szCs w:val="20"/>
        </w:rPr>
      </w:pPr>
      <w:r w:rsidRPr="00B25303">
        <w:rPr>
          <w:rFonts w:ascii="Times New Roman" w:hAnsi="Times New Roman" w:cs="Times New Roman"/>
          <w:sz w:val="20"/>
          <w:szCs w:val="20"/>
        </w:rPr>
        <w:t>Only cost shareable actions (e.g., remedial actions and long-te</w:t>
      </w:r>
      <w:r w:rsidRPr="00B25303">
        <w:rPr>
          <w:rFonts w:ascii="Times New Roman" w:hAnsi="Times New Roman" w:cs="Times New Roman"/>
          <w:sz w:val="20"/>
          <w:szCs w:val="20"/>
        </w:rPr>
        <w:t xml:space="preserve">rm response actions for most 10 percent cost share sites) are eligible for replacement with TR1 resources.  </w:t>
      </w:r>
    </w:p>
    <w:p w14:paraId="110C0E2C" w14:textId="77777777" w:rsidR="00EF655D" w:rsidRPr="00B25303" w:rsidRDefault="00CB2988">
      <w:pPr>
        <w:spacing w:after="0" w:line="259" w:lineRule="auto"/>
        <w:ind w:left="108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16885EB1" w14:textId="77777777" w:rsidR="00EF655D" w:rsidRPr="00B25303" w:rsidRDefault="00CB2988">
      <w:pPr>
        <w:ind w:left="1075"/>
        <w:rPr>
          <w:rFonts w:ascii="Times New Roman" w:hAnsi="Times New Roman" w:cs="Times New Roman"/>
          <w:sz w:val="20"/>
          <w:szCs w:val="20"/>
        </w:rPr>
      </w:pPr>
      <w:r w:rsidRPr="00B25303">
        <w:rPr>
          <w:rFonts w:ascii="Times New Roman" w:hAnsi="Times New Roman" w:cs="Times New Roman"/>
          <w:sz w:val="20"/>
          <w:szCs w:val="20"/>
        </w:rPr>
        <w:t>Reclassifications should only be conducted for Superfund expended appropriated resources. Any eligible unliquidated T obligations that exist at t</w:t>
      </w:r>
      <w:r w:rsidRPr="00B25303">
        <w:rPr>
          <w:rFonts w:ascii="Times New Roman" w:hAnsi="Times New Roman" w:cs="Times New Roman"/>
          <w:sz w:val="20"/>
          <w:szCs w:val="20"/>
        </w:rPr>
        <w:t xml:space="preserve">he site should be replaced with TR1 funds through obligation modifications before any reclassifications are implemented.   </w:t>
      </w:r>
    </w:p>
    <w:p w14:paraId="08A56254" w14:textId="77777777" w:rsidR="00EF655D" w:rsidRPr="00B25303" w:rsidRDefault="00CB2988">
      <w:pPr>
        <w:spacing w:after="0" w:line="259" w:lineRule="auto"/>
        <w:ind w:left="72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4BB9E291" w14:textId="77777777" w:rsidR="00EF655D" w:rsidRPr="00B25303" w:rsidRDefault="00CB2988">
      <w:pPr>
        <w:pStyle w:val="Heading1"/>
        <w:ind w:left="715"/>
        <w:rPr>
          <w:rFonts w:ascii="Times New Roman" w:hAnsi="Times New Roman" w:cs="Times New Roman"/>
          <w:sz w:val="20"/>
          <w:szCs w:val="20"/>
        </w:rPr>
      </w:pPr>
      <w:r w:rsidRPr="00B25303">
        <w:rPr>
          <w:rFonts w:ascii="Times New Roman" w:hAnsi="Times New Roman" w:cs="Times New Roman"/>
          <w:sz w:val="20"/>
          <w:szCs w:val="20"/>
        </w:rPr>
        <w:t xml:space="preserve">C. Request Reimbursable Authority for TR1 Funds </w:t>
      </w:r>
    </w:p>
    <w:p w14:paraId="3535BB67" w14:textId="77777777" w:rsidR="00EF655D" w:rsidRPr="00B25303" w:rsidRDefault="00CB2988">
      <w:pPr>
        <w:spacing w:after="0" w:line="259" w:lineRule="auto"/>
        <w:ind w:left="0" w:firstLine="0"/>
        <w:rPr>
          <w:rFonts w:ascii="Times New Roman" w:hAnsi="Times New Roman" w:cs="Times New Roman"/>
          <w:sz w:val="20"/>
          <w:szCs w:val="20"/>
        </w:rPr>
      </w:pPr>
      <w:r w:rsidRPr="00B25303">
        <w:rPr>
          <w:rFonts w:ascii="Times New Roman" w:hAnsi="Times New Roman" w:cs="Times New Roman"/>
          <w:sz w:val="20"/>
          <w:szCs w:val="20"/>
        </w:rPr>
        <w:t xml:space="preserve"> </w:t>
      </w:r>
      <w:r w:rsidRPr="00B25303">
        <w:rPr>
          <w:rFonts w:ascii="Times New Roman" w:hAnsi="Times New Roman" w:cs="Times New Roman"/>
          <w:sz w:val="20"/>
          <w:szCs w:val="20"/>
        </w:rPr>
        <w:tab/>
        <w:t xml:space="preserve"> </w:t>
      </w:r>
    </w:p>
    <w:p w14:paraId="69633961" w14:textId="77777777" w:rsidR="00EF655D" w:rsidRPr="00B25303" w:rsidRDefault="00CB2988">
      <w:pPr>
        <w:ind w:left="1075"/>
        <w:rPr>
          <w:rFonts w:ascii="Times New Roman" w:hAnsi="Times New Roman" w:cs="Times New Roman"/>
          <w:sz w:val="20"/>
          <w:szCs w:val="20"/>
        </w:rPr>
      </w:pPr>
      <w:r w:rsidRPr="00B25303">
        <w:rPr>
          <w:rFonts w:ascii="Times New Roman" w:hAnsi="Times New Roman" w:cs="Times New Roman"/>
          <w:sz w:val="20"/>
          <w:szCs w:val="20"/>
        </w:rPr>
        <w:t>Upon request of the Regional Program Office, the Regional Finance Office will enter a reprogramming (including the “To” and “From” lines) into the agency’s financial system of record to request reimbursable authority to use TR1 resources for any specific S</w:t>
      </w:r>
      <w:r w:rsidRPr="00B25303">
        <w:rPr>
          <w:rFonts w:ascii="Times New Roman" w:hAnsi="Times New Roman" w:cs="Times New Roman"/>
          <w:sz w:val="20"/>
          <w:szCs w:val="20"/>
        </w:rPr>
        <w:t>uperfund site accounts whose T resources are being replaced. For specific guidance please refer to the current fiscal year Reimbursable Authority Guidance located at</w:t>
      </w:r>
      <w:hyperlink r:id="rId7">
        <w:r w:rsidRPr="00B25303">
          <w:rPr>
            <w:rFonts w:ascii="Times New Roman" w:hAnsi="Times New Roman" w:cs="Times New Roman"/>
            <w:sz w:val="20"/>
            <w:szCs w:val="20"/>
          </w:rPr>
          <w:t xml:space="preserve"> http://intranet.epa</w:t>
        </w:r>
        <w:r w:rsidRPr="00B25303">
          <w:rPr>
            <w:rFonts w:ascii="Times New Roman" w:hAnsi="Times New Roman" w:cs="Times New Roman"/>
            <w:sz w:val="20"/>
            <w:szCs w:val="20"/>
          </w:rPr>
          <w:t>.gov/ocfo/budget/budgetmemos.htm.</w:t>
        </w:r>
      </w:hyperlink>
      <w:r w:rsidRPr="00B25303">
        <w:rPr>
          <w:rFonts w:ascii="Times New Roman" w:hAnsi="Times New Roman" w:cs="Times New Roman"/>
          <w:sz w:val="20"/>
          <w:szCs w:val="20"/>
        </w:rPr>
        <w:t xml:space="preserve"> </w:t>
      </w:r>
    </w:p>
    <w:p w14:paraId="1E9D2BB6" w14:textId="77777777" w:rsidR="00EF655D" w:rsidRPr="00B25303" w:rsidRDefault="00CB2988">
      <w:pPr>
        <w:spacing w:after="0" w:line="259" w:lineRule="auto"/>
        <w:ind w:left="108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0EA2A70F" w14:textId="77777777" w:rsidR="00EF655D" w:rsidRPr="00B25303" w:rsidRDefault="00CB2988">
      <w:pPr>
        <w:ind w:left="1075"/>
        <w:rPr>
          <w:rFonts w:ascii="Times New Roman" w:hAnsi="Times New Roman" w:cs="Times New Roman"/>
          <w:sz w:val="20"/>
          <w:szCs w:val="20"/>
        </w:rPr>
      </w:pPr>
      <w:r w:rsidRPr="00B25303">
        <w:rPr>
          <w:rFonts w:ascii="Times New Roman" w:hAnsi="Times New Roman" w:cs="Times New Roman"/>
          <w:sz w:val="20"/>
          <w:szCs w:val="20"/>
        </w:rPr>
        <w:t>Reprogramming requests should reflect the following generic justification in the comment field: “This action is to request SSC reimbursable authority for the following Superfund sites: [Insert Site Names and Dollar Amou</w:t>
      </w:r>
      <w:r w:rsidRPr="00B25303">
        <w:rPr>
          <w:rFonts w:ascii="Times New Roman" w:hAnsi="Times New Roman" w:cs="Times New Roman"/>
          <w:sz w:val="20"/>
          <w:szCs w:val="20"/>
        </w:rPr>
        <w:t xml:space="preserve">nts] Point of Contact: [Insert Name and Telephone No.].” </w:t>
      </w:r>
    </w:p>
    <w:p w14:paraId="10EF97EF" w14:textId="77777777" w:rsidR="00EF655D" w:rsidRPr="00B25303" w:rsidRDefault="00CB2988">
      <w:pPr>
        <w:spacing w:after="0" w:line="259" w:lineRule="auto"/>
        <w:ind w:left="108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52A4691D" w14:textId="77777777" w:rsidR="00EF655D" w:rsidRPr="00B25303" w:rsidRDefault="00CB2988">
      <w:pPr>
        <w:ind w:left="1075"/>
        <w:rPr>
          <w:rFonts w:ascii="Times New Roman" w:hAnsi="Times New Roman" w:cs="Times New Roman"/>
          <w:sz w:val="20"/>
          <w:szCs w:val="20"/>
        </w:rPr>
      </w:pPr>
      <w:r w:rsidRPr="00B25303">
        <w:rPr>
          <w:rFonts w:ascii="Times New Roman" w:hAnsi="Times New Roman" w:cs="Times New Roman"/>
          <w:sz w:val="20"/>
          <w:szCs w:val="20"/>
        </w:rPr>
        <w:t xml:space="preserve">The Office of Budget will review and approve the reprogramming if sufficient TR1 resources are available, thus providing the region with the authority to obligate the TR1 resources.   </w:t>
      </w:r>
    </w:p>
    <w:p w14:paraId="08616DB5" w14:textId="77777777" w:rsidR="00EF655D" w:rsidRPr="00B25303" w:rsidRDefault="00CB2988">
      <w:pPr>
        <w:spacing w:after="0" w:line="259" w:lineRule="auto"/>
        <w:ind w:left="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1CBA6903" w14:textId="77777777" w:rsidR="00EF655D" w:rsidRPr="00B25303" w:rsidRDefault="00CB2988">
      <w:pPr>
        <w:spacing w:after="0" w:line="259" w:lineRule="auto"/>
        <w:ind w:left="715"/>
        <w:rPr>
          <w:rFonts w:ascii="Times New Roman" w:hAnsi="Times New Roman" w:cs="Times New Roman"/>
          <w:sz w:val="20"/>
          <w:szCs w:val="20"/>
        </w:rPr>
      </w:pPr>
      <w:r w:rsidRPr="00B25303">
        <w:rPr>
          <w:rFonts w:ascii="Times New Roman" w:hAnsi="Times New Roman" w:cs="Times New Roman"/>
          <w:b/>
          <w:sz w:val="20"/>
          <w:szCs w:val="20"/>
        </w:rPr>
        <w:t>D. Conduc</w:t>
      </w:r>
      <w:r w:rsidRPr="00B25303">
        <w:rPr>
          <w:rFonts w:ascii="Times New Roman" w:hAnsi="Times New Roman" w:cs="Times New Roman"/>
          <w:b/>
          <w:sz w:val="20"/>
          <w:szCs w:val="20"/>
        </w:rPr>
        <w:t xml:space="preserve">t a Reclassification </w:t>
      </w:r>
      <w:proofErr w:type="gramStart"/>
      <w:r w:rsidRPr="00B25303">
        <w:rPr>
          <w:rFonts w:ascii="Times New Roman" w:hAnsi="Times New Roman" w:cs="Times New Roman"/>
          <w:b/>
          <w:sz w:val="20"/>
          <w:szCs w:val="20"/>
        </w:rPr>
        <w:t>Or</w:t>
      </w:r>
      <w:proofErr w:type="gramEnd"/>
      <w:r w:rsidRPr="00B25303">
        <w:rPr>
          <w:rFonts w:ascii="Times New Roman" w:hAnsi="Times New Roman" w:cs="Times New Roman"/>
          <w:b/>
          <w:sz w:val="20"/>
          <w:szCs w:val="20"/>
        </w:rPr>
        <w:t xml:space="preserve"> Obligation Modification </w:t>
      </w:r>
    </w:p>
    <w:p w14:paraId="365B4AAB" w14:textId="77777777" w:rsidR="00EF655D" w:rsidRPr="00B25303" w:rsidRDefault="00CB2988">
      <w:pPr>
        <w:spacing w:after="0" w:line="259" w:lineRule="auto"/>
        <w:ind w:left="72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674C4CE6" w14:textId="77777777" w:rsidR="00EF655D" w:rsidRPr="00B25303" w:rsidRDefault="00CB2988">
      <w:pPr>
        <w:pStyle w:val="Heading1"/>
        <w:ind w:left="1090"/>
        <w:rPr>
          <w:rFonts w:ascii="Times New Roman" w:hAnsi="Times New Roman" w:cs="Times New Roman"/>
          <w:sz w:val="20"/>
          <w:szCs w:val="20"/>
        </w:rPr>
      </w:pPr>
      <w:r w:rsidRPr="00B25303">
        <w:rPr>
          <w:rFonts w:ascii="Times New Roman" w:hAnsi="Times New Roman" w:cs="Times New Roman"/>
          <w:sz w:val="20"/>
          <w:szCs w:val="20"/>
        </w:rPr>
        <w:t xml:space="preserve">1. Reclassification </w:t>
      </w:r>
    </w:p>
    <w:p w14:paraId="752EF808" w14:textId="77777777" w:rsidR="00EF655D" w:rsidRPr="00B25303" w:rsidRDefault="00CB2988">
      <w:pPr>
        <w:spacing w:after="0" w:line="259" w:lineRule="auto"/>
        <w:ind w:left="1800" w:firstLine="0"/>
        <w:rPr>
          <w:rFonts w:ascii="Times New Roman" w:hAnsi="Times New Roman" w:cs="Times New Roman"/>
          <w:sz w:val="20"/>
          <w:szCs w:val="20"/>
        </w:rPr>
      </w:pPr>
      <w:r w:rsidRPr="00B25303">
        <w:rPr>
          <w:rFonts w:ascii="Times New Roman" w:hAnsi="Times New Roman" w:cs="Times New Roman"/>
          <w:b/>
          <w:sz w:val="20"/>
          <w:szCs w:val="20"/>
        </w:rPr>
        <w:t xml:space="preserve"> </w:t>
      </w:r>
    </w:p>
    <w:p w14:paraId="25EE3B00" w14:textId="77777777" w:rsidR="00EF655D" w:rsidRPr="00B25303" w:rsidRDefault="00CB2988">
      <w:pPr>
        <w:numPr>
          <w:ilvl w:val="0"/>
          <w:numId w:val="2"/>
        </w:numPr>
        <w:ind w:hanging="360"/>
        <w:rPr>
          <w:rFonts w:ascii="Times New Roman" w:hAnsi="Times New Roman" w:cs="Times New Roman"/>
          <w:sz w:val="20"/>
          <w:szCs w:val="20"/>
        </w:rPr>
      </w:pPr>
      <w:r w:rsidRPr="00B25303">
        <w:rPr>
          <w:rFonts w:ascii="Times New Roman" w:hAnsi="Times New Roman" w:cs="Times New Roman"/>
          <w:sz w:val="20"/>
          <w:szCs w:val="20"/>
        </w:rPr>
        <w:t xml:space="preserve">Identify Past Costs in T for Reclassification. </w:t>
      </w:r>
    </w:p>
    <w:p w14:paraId="3F5A3EA6" w14:textId="77777777" w:rsidR="00EF655D" w:rsidRPr="00B25303" w:rsidRDefault="00CB2988">
      <w:pPr>
        <w:spacing w:after="0" w:line="259" w:lineRule="auto"/>
        <w:ind w:left="2160" w:firstLine="0"/>
        <w:rPr>
          <w:rFonts w:ascii="Times New Roman" w:hAnsi="Times New Roman" w:cs="Times New Roman"/>
          <w:sz w:val="20"/>
          <w:szCs w:val="20"/>
        </w:rPr>
      </w:pPr>
      <w:r w:rsidRPr="00B25303">
        <w:rPr>
          <w:rFonts w:ascii="Times New Roman" w:hAnsi="Times New Roman" w:cs="Times New Roman"/>
          <w:sz w:val="20"/>
          <w:szCs w:val="20"/>
        </w:rPr>
        <w:lastRenderedPageBreak/>
        <w:t xml:space="preserve"> </w:t>
      </w:r>
    </w:p>
    <w:p w14:paraId="0422435F" w14:textId="77777777" w:rsidR="00EF655D" w:rsidRPr="00B25303" w:rsidRDefault="00CB2988">
      <w:pPr>
        <w:numPr>
          <w:ilvl w:val="1"/>
          <w:numId w:val="2"/>
        </w:numPr>
        <w:ind w:hanging="470"/>
        <w:rPr>
          <w:rFonts w:ascii="Times New Roman" w:hAnsi="Times New Roman" w:cs="Times New Roman"/>
          <w:sz w:val="20"/>
          <w:szCs w:val="20"/>
        </w:rPr>
      </w:pPr>
      <w:r w:rsidRPr="00B25303">
        <w:rPr>
          <w:rFonts w:ascii="Times New Roman" w:hAnsi="Times New Roman" w:cs="Times New Roman"/>
          <w:sz w:val="20"/>
          <w:szCs w:val="20"/>
        </w:rPr>
        <w:t xml:space="preserve">Fiscal Year </w:t>
      </w:r>
    </w:p>
    <w:p w14:paraId="317F378E" w14:textId="77777777" w:rsidR="00EF655D" w:rsidRPr="00B25303" w:rsidRDefault="00CB2988">
      <w:pPr>
        <w:numPr>
          <w:ilvl w:val="1"/>
          <w:numId w:val="2"/>
        </w:numPr>
        <w:ind w:hanging="470"/>
        <w:rPr>
          <w:rFonts w:ascii="Times New Roman" w:hAnsi="Times New Roman" w:cs="Times New Roman"/>
          <w:sz w:val="20"/>
          <w:szCs w:val="20"/>
        </w:rPr>
      </w:pPr>
      <w:r w:rsidRPr="00B25303">
        <w:rPr>
          <w:rFonts w:ascii="Times New Roman" w:hAnsi="Times New Roman" w:cs="Times New Roman"/>
          <w:sz w:val="20"/>
          <w:szCs w:val="20"/>
        </w:rPr>
        <w:t xml:space="preserve">Fund Appropriation </w:t>
      </w:r>
    </w:p>
    <w:p w14:paraId="78830438" w14:textId="77777777" w:rsidR="00EF655D" w:rsidRPr="00B25303" w:rsidRDefault="00CB2988">
      <w:pPr>
        <w:numPr>
          <w:ilvl w:val="1"/>
          <w:numId w:val="2"/>
        </w:numPr>
        <w:ind w:hanging="470"/>
        <w:rPr>
          <w:rFonts w:ascii="Times New Roman" w:hAnsi="Times New Roman" w:cs="Times New Roman"/>
          <w:sz w:val="20"/>
          <w:szCs w:val="20"/>
        </w:rPr>
      </w:pPr>
      <w:r w:rsidRPr="00B25303">
        <w:rPr>
          <w:rFonts w:ascii="Times New Roman" w:hAnsi="Times New Roman" w:cs="Times New Roman"/>
          <w:sz w:val="20"/>
          <w:szCs w:val="20"/>
        </w:rPr>
        <w:t xml:space="preserve">Organization </w:t>
      </w:r>
      <w:r w:rsidRPr="00B25303">
        <w:rPr>
          <w:rFonts w:ascii="Times New Roman" w:hAnsi="Times New Roman" w:cs="Times New Roman"/>
          <w:b/>
          <w:sz w:val="20"/>
          <w:szCs w:val="20"/>
        </w:rPr>
        <w:t xml:space="preserve">iv. </w:t>
      </w:r>
      <w:r w:rsidRPr="00B25303">
        <w:rPr>
          <w:rFonts w:ascii="Times New Roman" w:hAnsi="Times New Roman" w:cs="Times New Roman"/>
          <w:b/>
          <w:sz w:val="20"/>
          <w:szCs w:val="20"/>
        </w:rPr>
        <w:tab/>
      </w:r>
      <w:r w:rsidRPr="00B25303">
        <w:rPr>
          <w:rFonts w:ascii="Times New Roman" w:hAnsi="Times New Roman" w:cs="Times New Roman"/>
          <w:sz w:val="20"/>
          <w:szCs w:val="20"/>
        </w:rPr>
        <w:t xml:space="preserve">Program Results Code </w:t>
      </w:r>
    </w:p>
    <w:p w14:paraId="5545DD0A" w14:textId="77777777" w:rsidR="00EF655D" w:rsidRPr="00B25303" w:rsidRDefault="00CB2988">
      <w:pPr>
        <w:numPr>
          <w:ilvl w:val="1"/>
          <w:numId w:val="3"/>
        </w:numPr>
        <w:ind w:hanging="602"/>
        <w:rPr>
          <w:rFonts w:ascii="Times New Roman" w:hAnsi="Times New Roman" w:cs="Times New Roman"/>
          <w:sz w:val="20"/>
          <w:szCs w:val="20"/>
        </w:rPr>
      </w:pPr>
      <w:r w:rsidRPr="00B25303">
        <w:rPr>
          <w:rFonts w:ascii="Times New Roman" w:hAnsi="Times New Roman" w:cs="Times New Roman"/>
          <w:sz w:val="20"/>
          <w:szCs w:val="20"/>
        </w:rPr>
        <w:t xml:space="preserve">Site Project </w:t>
      </w:r>
    </w:p>
    <w:p w14:paraId="743DBCD8" w14:textId="77777777" w:rsidR="00EF655D" w:rsidRPr="00B25303" w:rsidRDefault="00CB2988">
      <w:pPr>
        <w:numPr>
          <w:ilvl w:val="1"/>
          <w:numId w:val="3"/>
        </w:numPr>
        <w:ind w:hanging="602"/>
        <w:rPr>
          <w:rFonts w:ascii="Times New Roman" w:hAnsi="Times New Roman" w:cs="Times New Roman"/>
          <w:sz w:val="20"/>
          <w:szCs w:val="20"/>
        </w:rPr>
      </w:pPr>
      <w:r w:rsidRPr="00B25303">
        <w:rPr>
          <w:rFonts w:ascii="Times New Roman" w:hAnsi="Times New Roman" w:cs="Times New Roman"/>
          <w:sz w:val="20"/>
          <w:szCs w:val="20"/>
        </w:rPr>
        <w:t xml:space="preserve">Cost Organization </w:t>
      </w:r>
    </w:p>
    <w:p w14:paraId="7F82A01A" w14:textId="77777777" w:rsidR="00EF655D" w:rsidRPr="00B25303" w:rsidRDefault="00CB2988">
      <w:pPr>
        <w:numPr>
          <w:ilvl w:val="1"/>
          <w:numId w:val="3"/>
        </w:numPr>
        <w:ind w:hanging="602"/>
        <w:rPr>
          <w:rFonts w:ascii="Times New Roman" w:hAnsi="Times New Roman" w:cs="Times New Roman"/>
          <w:sz w:val="20"/>
          <w:szCs w:val="20"/>
        </w:rPr>
      </w:pPr>
      <w:r w:rsidRPr="00B25303">
        <w:rPr>
          <w:rFonts w:ascii="Times New Roman" w:hAnsi="Times New Roman" w:cs="Times New Roman"/>
          <w:sz w:val="20"/>
          <w:szCs w:val="20"/>
        </w:rPr>
        <w:t xml:space="preserve">Finance Object Code </w:t>
      </w:r>
    </w:p>
    <w:p w14:paraId="51450C8A" w14:textId="77777777" w:rsidR="00EF655D" w:rsidRPr="00B25303" w:rsidRDefault="00CB2988">
      <w:pPr>
        <w:spacing w:after="0" w:line="259" w:lineRule="auto"/>
        <w:ind w:left="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60FEF727" w14:textId="77777777" w:rsidR="00EF655D" w:rsidRPr="00B25303" w:rsidRDefault="00CB2988">
      <w:pPr>
        <w:numPr>
          <w:ilvl w:val="0"/>
          <w:numId w:val="2"/>
        </w:numPr>
        <w:ind w:hanging="360"/>
        <w:rPr>
          <w:rFonts w:ascii="Times New Roman" w:hAnsi="Times New Roman" w:cs="Times New Roman"/>
          <w:sz w:val="20"/>
          <w:szCs w:val="20"/>
        </w:rPr>
      </w:pPr>
      <w:r w:rsidRPr="00B25303">
        <w:rPr>
          <w:rFonts w:ascii="Times New Roman" w:hAnsi="Times New Roman" w:cs="Times New Roman"/>
          <w:sz w:val="20"/>
          <w:szCs w:val="20"/>
        </w:rPr>
        <w:t xml:space="preserve">Implement SV Transactions. </w:t>
      </w:r>
    </w:p>
    <w:p w14:paraId="305C7806" w14:textId="77777777" w:rsidR="00EF655D" w:rsidRPr="00B25303" w:rsidRDefault="00CB2988">
      <w:pPr>
        <w:spacing w:after="0" w:line="259" w:lineRule="auto"/>
        <w:ind w:left="36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66754463" w14:textId="478C55B4" w:rsidR="00EF655D" w:rsidRPr="00B25303" w:rsidRDefault="00CB2988">
      <w:pPr>
        <w:spacing w:after="36"/>
        <w:ind w:left="1810"/>
        <w:rPr>
          <w:rFonts w:ascii="Times New Roman" w:hAnsi="Times New Roman" w:cs="Times New Roman"/>
          <w:sz w:val="20"/>
          <w:szCs w:val="20"/>
        </w:rPr>
      </w:pPr>
      <w:r w:rsidRPr="00B25303">
        <w:rPr>
          <w:rFonts w:ascii="Times New Roman" w:hAnsi="Times New Roman" w:cs="Times New Roman"/>
          <w:sz w:val="20"/>
          <w:szCs w:val="20"/>
        </w:rPr>
        <w:t xml:space="preserve">Once reimbursable authority has been approved, the RFMO prepares and enters a standard voucher transaction to decrease site-specific disbursement documents recorded under the T fund code which </w:t>
      </w:r>
      <w:r w:rsidR="00B25303">
        <w:rPr>
          <w:rFonts w:ascii="Times New Roman" w:hAnsi="Times New Roman" w:cs="Times New Roman"/>
          <w:sz w:val="20"/>
          <w:szCs w:val="20"/>
        </w:rPr>
        <w:t>de-obligate</w:t>
      </w:r>
      <w:r w:rsidRPr="00B25303">
        <w:rPr>
          <w:rFonts w:ascii="Times New Roman" w:hAnsi="Times New Roman" w:cs="Times New Roman"/>
          <w:sz w:val="20"/>
          <w:szCs w:val="20"/>
        </w:rPr>
        <w:t>s the T resources and to RFMO increase TR1 resources using the required agency’s financial system of record fields listed above. The SV increase to TR1, however, shall be completed using the same “Budget Fiscal Year” as the receipts</w:t>
      </w:r>
      <w:r w:rsidRPr="00B25303">
        <w:rPr>
          <w:rFonts w:ascii="Times New Roman" w:hAnsi="Times New Roman" w:cs="Times New Roman"/>
          <w:sz w:val="20"/>
          <w:szCs w:val="20"/>
          <w:vertAlign w:val="superscript"/>
        </w:rPr>
        <w:footnoteReference w:id="1"/>
      </w:r>
      <w:r w:rsidRPr="00B25303">
        <w:rPr>
          <w:rFonts w:ascii="Times New Roman" w:hAnsi="Times New Roman" w:cs="Times New Roman"/>
          <w:sz w:val="20"/>
          <w:szCs w:val="20"/>
        </w:rPr>
        <w:t xml:space="preserve">.   </w:t>
      </w:r>
    </w:p>
    <w:p w14:paraId="3BCD6B5F" w14:textId="77777777" w:rsidR="00EF655D" w:rsidRPr="00B25303" w:rsidRDefault="00CB2988">
      <w:pPr>
        <w:spacing w:after="0" w:line="259" w:lineRule="auto"/>
        <w:ind w:left="216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529CFA72" w14:textId="77777777" w:rsidR="00EF655D" w:rsidRPr="00B25303" w:rsidRDefault="00CB2988">
      <w:pPr>
        <w:spacing w:after="0" w:line="259" w:lineRule="auto"/>
        <w:ind w:left="216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6B40C692" w14:textId="77777777" w:rsidR="00EF655D" w:rsidRPr="00B25303" w:rsidRDefault="00CB2988">
      <w:pPr>
        <w:spacing w:after="0" w:line="259" w:lineRule="auto"/>
        <w:ind w:left="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2F0EC31B" w14:textId="77777777" w:rsidR="00EF655D" w:rsidRPr="00B25303" w:rsidRDefault="00CB2988">
      <w:pPr>
        <w:pStyle w:val="Heading1"/>
        <w:ind w:left="1090"/>
        <w:rPr>
          <w:rFonts w:ascii="Times New Roman" w:hAnsi="Times New Roman" w:cs="Times New Roman"/>
          <w:sz w:val="20"/>
          <w:szCs w:val="20"/>
        </w:rPr>
      </w:pPr>
      <w:r w:rsidRPr="00B25303">
        <w:rPr>
          <w:rFonts w:ascii="Times New Roman" w:hAnsi="Times New Roman" w:cs="Times New Roman"/>
          <w:sz w:val="20"/>
          <w:szCs w:val="20"/>
        </w:rPr>
        <w:t>2. Obligati</w:t>
      </w:r>
      <w:r w:rsidRPr="00B25303">
        <w:rPr>
          <w:rFonts w:ascii="Times New Roman" w:hAnsi="Times New Roman" w:cs="Times New Roman"/>
          <w:sz w:val="20"/>
          <w:szCs w:val="20"/>
        </w:rPr>
        <w:t xml:space="preserve">on Modification </w:t>
      </w:r>
    </w:p>
    <w:p w14:paraId="645FA438" w14:textId="77777777" w:rsidR="00EF655D" w:rsidRPr="00B25303" w:rsidRDefault="00CB2988">
      <w:pPr>
        <w:spacing w:after="0" w:line="259" w:lineRule="auto"/>
        <w:ind w:left="2520" w:firstLine="0"/>
        <w:rPr>
          <w:rFonts w:ascii="Times New Roman" w:hAnsi="Times New Roman" w:cs="Times New Roman"/>
          <w:sz w:val="20"/>
          <w:szCs w:val="20"/>
        </w:rPr>
      </w:pPr>
      <w:r w:rsidRPr="00B25303">
        <w:rPr>
          <w:rFonts w:ascii="Times New Roman" w:hAnsi="Times New Roman" w:cs="Times New Roman"/>
          <w:b/>
          <w:sz w:val="20"/>
          <w:szCs w:val="20"/>
        </w:rPr>
        <w:t xml:space="preserve"> </w:t>
      </w:r>
    </w:p>
    <w:p w14:paraId="442BE823" w14:textId="77777777" w:rsidR="00EF655D" w:rsidRPr="00B25303" w:rsidRDefault="00CB2988">
      <w:pPr>
        <w:numPr>
          <w:ilvl w:val="0"/>
          <w:numId w:val="4"/>
        </w:numPr>
        <w:ind w:hanging="360"/>
        <w:rPr>
          <w:rFonts w:ascii="Times New Roman" w:hAnsi="Times New Roman" w:cs="Times New Roman"/>
          <w:sz w:val="20"/>
          <w:szCs w:val="20"/>
        </w:rPr>
      </w:pPr>
      <w:r w:rsidRPr="00B25303">
        <w:rPr>
          <w:rFonts w:ascii="Times New Roman" w:hAnsi="Times New Roman" w:cs="Times New Roman"/>
          <w:sz w:val="20"/>
          <w:szCs w:val="20"/>
        </w:rPr>
        <w:t xml:space="preserve">The region commits the TR1 resources for the SSC amount. </w:t>
      </w:r>
    </w:p>
    <w:p w14:paraId="637560DA" w14:textId="77777777" w:rsidR="00EF655D" w:rsidRPr="00B25303" w:rsidRDefault="00CB2988">
      <w:pPr>
        <w:numPr>
          <w:ilvl w:val="0"/>
          <w:numId w:val="4"/>
        </w:numPr>
        <w:ind w:hanging="360"/>
        <w:rPr>
          <w:rFonts w:ascii="Times New Roman" w:hAnsi="Times New Roman" w:cs="Times New Roman"/>
          <w:sz w:val="20"/>
          <w:szCs w:val="20"/>
        </w:rPr>
      </w:pPr>
      <w:r w:rsidRPr="00B25303">
        <w:rPr>
          <w:rFonts w:ascii="Times New Roman" w:hAnsi="Times New Roman" w:cs="Times New Roman"/>
          <w:sz w:val="20"/>
          <w:szCs w:val="20"/>
        </w:rPr>
        <w:t xml:space="preserve">The SFO obligates the TR1 resources, using the transaction code and transaction type used initially with T for the amount that applies to SSC and ensures the TR1 commitment is referenced. </w:t>
      </w:r>
    </w:p>
    <w:p w14:paraId="291178BE" w14:textId="1627FD97" w:rsidR="00EF655D" w:rsidRPr="00B25303" w:rsidRDefault="00CB2988">
      <w:pPr>
        <w:numPr>
          <w:ilvl w:val="0"/>
          <w:numId w:val="4"/>
        </w:numPr>
        <w:ind w:hanging="360"/>
        <w:rPr>
          <w:rFonts w:ascii="Times New Roman" w:hAnsi="Times New Roman" w:cs="Times New Roman"/>
          <w:sz w:val="20"/>
          <w:szCs w:val="20"/>
        </w:rPr>
      </w:pPr>
      <w:r w:rsidRPr="00B25303">
        <w:rPr>
          <w:rFonts w:ascii="Times New Roman" w:hAnsi="Times New Roman" w:cs="Times New Roman"/>
          <w:sz w:val="20"/>
          <w:szCs w:val="20"/>
        </w:rPr>
        <w:t>After following existing agency procedures for modifying obligation</w:t>
      </w:r>
      <w:r w:rsidRPr="00B25303">
        <w:rPr>
          <w:rFonts w:ascii="Times New Roman" w:hAnsi="Times New Roman" w:cs="Times New Roman"/>
          <w:sz w:val="20"/>
          <w:szCs w:val="20"/>
        </w:rPr>
        <w:t xml:space="preserve"> documents the SFO will </w:t>
      </w:r>
      <w:r w:rsidR="00B25303">
        <w:rPr>
          <w:rFonts w:ascii="Times New Roman" w:hAnsi="Times New Roman" w:cs="Times New Roman"/>
          <w:sz w:val="20"/>
          <w:szCs w:val="20"/>
        </w:rPr>
        <w:t>de-obligate</w:t>
      </w:r>
      <w:r w:rsidRPr="00B25303">
        <w:rPr>
          <w:rFonts w:ascii="Times New Roman" w:hAnsi="Times New Roman" w:cs="Times New Roman"/>
          <w:sz w:val="20"/>
          <w:szCs w:val="20"/>
        </w:rPr>
        <w:t xml:space="preserve"> the T resources using the initial transaction code and transaction type with a decrease for the amount that applies to SSC. </w:t>
      </w:r>
    </w:p>
    <w:p w14:paraId="1E51D9EE" w14:textId="77777777" w:rsidR="00EF655D" w:rsidRPr="00B25303" w:rsidRDefault="00CB2988">
      <w:pPr>
        <w:spacing w:after="0" w:line="259" w:lineRule="auto"/>
        <w:ind w:left="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45224F2F" w14:textId="77777777" w:rsidR="00EF655D" w:rsidRPr="00B25303" w:rsidRDefault="00CB2988">
      <w:pPr>
        <w:pStyle w:val="Heading1"/>
        <w:ind w:left="715"/>
        <w:rPr>
          <w:rFonts w:ascii="Times New Roman" w:hAnsi="Times New Roman" w:cs="Times New Roman"/>
          <w:sz w:val="20"/>
          <w:szCs w:val="20"/>
        </w:rPr>
      </w:pPr>
      <w:r w:rsidRPr="00B25303">
        <w:rPr>
          <w:rFonts w:ascii="Times New Roman" w:hAnsi="Times New Roman" w:cs="Times New Roman"/>
          <w:sz w:val="20"/>
          <w:szCs w:val="20"/>
        </w:rPr>
        <w:t xml:space="preserve">E. Recertify Prior Year T Resources  </w:t>
      </w:r>
    </w:p>
    <w:p w14:paraId="5044A21A" w14:textId="77777777" w:rsidR="00EF655D" w:rsidRPr="00B25303" w:rsidRDefault="00CB2988">
      <w:pPr>
        <w:spacing w:after="0" w:line="259" w:lineRule="auto"/>
        <w:ind w:left="144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740BAC17" w14:textId="77777777" w:rsidR="00EF655D" w:rsidRPr="00B25303" w:rsidRDefault="00CB2988">
      <w:pPr>
        <w:ind w:left="1075"/>
        <w:rPr>
          <w:rFonts w:ascii="Times New Roman" w:hAnsi="Times New Roman" w:cs="Times New Roman"/>
          <w:sz w:val="20"/>
          <w:szCs w:val="20"/>
        </w:rPr>
      </w:pPr>
      <w:r w:rsidRPr="00B25303">
        <w:rPr>
          <w:rFonts w:ascii="Times New Roman" w:hAnsi="Times New Roman" w:cs="Times New Roman"/>
          <w:sz w:val="20"/>
          <w:szCs w:val="20"/>
        </w:rPr>
        <w:t xml:space="preserve">Generally, once the SV transactions or obligation modifications are complete, the RFMO will prepare and send a recertification request to the OB via the OB’s Lotus Notes Recertification database.  </w:t>
      </w:r>
    </w:p>
    <w:p w14:paraId="7ED5D6BA" w14:textId="77777777" w:rsidR="00EF655D" w:rsidRPr="00B25303" w:rsidRDefault="00CB2988">
      <w:pPr>
        <w:spacing w:after="0" w:line="259" w:lineRule="auto"/>
        <w:ind w:left="1080" w:firstLine="0"/>
        <w:rPr>
          <w:rFonts w:ascii="Times New Roman" w:hAnsi="Times New Roman" w:cs="Times New Roman"/>
          <w:sz w:val="20"/>
          <w:szCs w:val="20"/>
        </w:rPr>
      </w:pPr>
      <w:r w:rsidRPr="00B25303">
        <w:rPr>
          <w:rFonts w:ascii="Times New Roman" w:hAnsi="Times New Roman" w:cs="Times New Roman"/>
          <w:sz w:val="20"/>
          <w:szCs w:val="20"/>
        </w:rPr>
        <w:t xml:space="preserve"> </w:t>
      </w:r>
    </w:p>
    <w:p w14:paraId="6C9B9ED2" w14:textId="6EC020CD" w:rsidR="00EF655D" w:rsidRPr="00B25303" w:rsidRDefault="00CB2988">
      <w:pPr>
        <w:ind w:left="1075"/>
        <w:rPr>
          <w:rFonts w:ascii="Times New Roman" w:hAnsi="Times New Roman" w:cs="Times New Roman"/>
          <w:sz w:val="20"/>
          <w:szCs w:val="20"/>
        </w:rPr>
      </w:pPr>
      <w:r w:rsidRPr="00B25303">
        <w:rPr>
          <w:rFonts w:ascii="Times New Roman" w:hAnsi="Times New Roman" w:cs="Times New Roman"/>
          <w:sz w:val="20"/>
          <w:szCs w:val="20"/>
        </w:rPr>
        <w:t>In conjunction with the recertification request the RFMO</w:t>
      </w:r>
      <w:r w:rsidRPr="00B25303">
        <w:rPr>
          <w:rFonts w:ascii="Times New Roman" w:hAnsi="Times New Roman" w:cs="Times New Roman"/>
          <w:sz w:val="20"/>
          <w:szCs w:val="20"/>
        </w:rPr>
        <w:t xml:space="preserve"> will enter a reprogramming request in the agency’s financial system of record to request the </w:t>
      </w:r>
      <w:r w:rsidR="00B25303">
        <w:rPr>
          <w:rFonts w:ascii="Times New Roman" w:hAnsi="Times New Roman" w:cs="Times New Roman"/>
          <w:sz w:val="20"/>
          <w:szCs w:val="20"/>
        </w:rPr>
        <w:t>de-obligate</w:t>
      </w:r>
      <w:r w:rsidRPr="00B25303">
        <w:rPr>
          <w:rFonts w:ascii="Times New Roman" w:hAnsi="Times New Roman" w:cs="Times New Roman"/>
          <w:sz w:val="20"/>
          <w:szCs w:val="20"/>
        </w:rPr>
        <w:t xml:space="preserve">d T resources be returned to the region in accordance with the current fiscal year Superfund </w:t>
      </w:r>
      <w:r w:rsidR="00B25303">
        <w:rPr>
          <w:rFonts w:ascii="Times New Roman" w:hAnsi="Times New Roman" w:cs="Times New Roman"/>
          <w:sz w:val="20"/>
          <w:szCs w:val="20"/>
        </w:rPr>
        <w:t>De-obligation</w:t>
      </w:r>
      <w:r w:rsidRPr="00B25303">
        <w:rPr>
          <w:rFonts w:ascii="Times New Roman" w:hAnsi="Times New Roman" w:cs="Times New Roman"/>
          <w:sz w:val="20"/>
          <w:szCs w:val="20"/>
        </w:rPr>
        <w:t xml:space="preserve"> Recertification Guidance. The most recent memo</w:t>
      </w:r>
      <w:r w:rsidRPr="00B25303">
        <w:rPr>
          <w:rFonts w:ascii="Times New Roman" w:hAnsi="Times New Roman" w:cs="Times New Roman"/>
          <w:sz w:val="20"/>
          <w:szCs w:val="20"/>
        </w:rPr>
        <w:t xml:space="preserve"> issued by the OB maybe found at </w:t>
      </w:r>
      <w:hyperlink r:id="rId8">
        <w:r w:rsidRPr="00B25303">
          <w:rPr>
            <w:rFonts w:ascii="Times New Roman" w:hAnsi="Times New Roman" w:cs="Times New Roman"/>
            <w:color w:val="0000FF"/>
            <w:sz w:val="20"/>
            <w:szCs w:val="20"/>
            <w:u w:val="single" w:color="0000FF"/>
          </w:rPr>
          <w:t>http://intranet.epa.gov/ocfo/budget/budgetmemos.htm</w:t>
        </w:r>
      </w:hyperlink>
      <w:hyperlink r:id="rId9">
        <w:r w:rsidRPr="00B25303">
          <w:rPr>
            <w:rFonts w:ascii="Times New Roman" w:hAnsi="Times New Roman" w:cs="Times New Roman"/>
            <w:sz w:val="20"/>
            <w:szCs w:val="20"/>
          </w:rPr>
          <w:t>.</w:t>
        </w:r>
      </w:hyperlink>
      <w:r w:rsidRPr="00B25303">
        <w:rPr>
          <w:rFonts w:ascii="Times New Roman" w:hAnsi="Times New Roman" w:cs="Times New Roman"/>
          <w:sz w:val="20"/>
          <w:szCs w:val="20"/>
        </w:rPr>
        <w:t xml:space="preserve"> </w:t>
      </w:r>
    </w:p>
    <w:p w14:paraId="2928C4DE" w14:textId="77777777" w:rsidR="00EF655D" w:rsidRPr="00B25303" w:rsidRDefault="00CB2988">
      <w:pPr>
        <w:spacing w:after="259" w:line="259" w:lineRule="auto"/>
        <w:ind w:left="0" w:firstLine="0"/>
        <w:rPr>
          <w:rFonts w:ascii="Times New Roman" w:hAnsi="Times New Roman" w:cs="Times New Roman"/>
          <w:sz w:val="20"/>
          <w:szCs w:val="20"/>
        </w:rPr>
      </w:pPr>
      <w:r w:rsidRPr="00B25303">
        <w:rPr>
          <w:rFonts w:ascii="Times New Roman" w:hAnsi="Times New Roman" w:cs="Times New Roman"/>
          <w:b/>
          <w:sz w:val="20"/>
          <w:szCs w:val="20"/>
        </w:rPr>
        <w:t xml:space="preserve"> </w:t>
      </w:r>
    </w:p>
    <w:p w14:paraId="1C1545C1" w14:textId="77777777" w:rsidR="00EF655D" w:rsidRPr="00B25303" w:rsidRDefault="00CB2988">
      <w:pPr>
        <w:spacing w:after="0" w:line="259" w:lineRule="auto"/>
        <w:ind w:left="0" w:firstLine="0"/>
        <w:rPr>
          <w:rFonts w:ascii="Times New Roman" w:hAnsi="Times New Roman" w:cs="Times New Roman"/>
          <w:sz w:val="20"/>
          <w:szCs w:val="20"/>
        </w:rPr>
      </w:pPr>
      <w:r w:rsidRPr="00B25303">
        <w:rPr>
          <w:rFonts w:ascii="Times New Roman" w:hAnsi="Times New Roman" w:cs="Times New Roman"/>
          <w:sz w:val="20"/>
          <w:szCs w:val="20"/>
        </w:rPr>
        <w:t xml:space="preserve"> </w:t>
      </w:r>
    </w:p>
    <w:sectPr w:rsidR="00EF655D" w:rsidRPr="00B25303">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2240" w:h="15840"/>
      <w:pgMar w:top="1444" w:right="1086" w:bottom="1445" w:left="1080" w:header="724"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30179" w14:textId="77777777" w:rsidR="00CB2988" w:rsidRDefault="00CB2988">
      <w:pPr>
        <w:spacing w:after="0" w:line="240" w:lineRule="auto"/>
      </w:pPr>
      <w:r>
        <w:separator/>
      </w:r>
    </w:p>
  </w:endnote>
  <w:endnote w:type="continuationSeparator" w:id="0">
    <w:p w14:paraId="7AAFFB64" w14:textId="77777777" w:rsidR="00CB2988" w:rsidRDefault="00CB2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F1DB3" w14:textId="77777777" w:rsidR="00EF655D" w:rsidRDefault="00CB2988">
    <w:pPr>
      <w:tabs>
        <w:tab w:val="center" w:pos="1294"/>
        <w:tab w:val="center" w:pos="7243"/>
        <w:tab w:val="center" w:pos="10083"/>
      </w:tabs>
      <w:spacing w:after="0" w:line="259" w:lineRule="auto"/>
      <w:ind w:left="0" w:firstLine="0"/>
    </w:pPr>
    <w:r>
      <w:rPr>
        <w:rFonts w:ascii="Calibri" w:eastAsia="Calibri" w:hAnsi="Calibri" w:cs="Calibri"/>
        <w:sz w:val="22"/>
      </w:rPr>
      <w:tab/>
    </w:r>
    <w:r>
      <w:t xml:space="preserve">Issue </w:t>
    </w:r>
    <w:proofErr w:type="gramStart"/>
    <w:r>
      <w:t xml:space="preserve">Date  </w:t>
    </w:r>
    <w:r>
      <w:tab/>
    </w:r>
    <w:proofErr w:type="gramEnd"/>
    <w:r>
      <w:t xml:space="preserve">Superfund Fin. Mgmt. – State Cost Share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42FE4" w14:textId="53B60A59" w:rsidR="00EF655D" w:rsidRDefault="00EF655D">
    <w:pPr>
      <w:tabs>
        <w:tab w:val="center" w:pos="1294"/>
        <w:tab w:val="center" w:pos="7243"/>
        <w:tab w:val="center" w:pos="10083"/>
      </w:tabs>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89D32" w14:textId="77777777" w:rsidR="00EF655D" w:rsidRDefault="00CB2988">
    <w:pPr>
      <w:tabs>
        <w:tab w:val="center" w:pos="1294"/>
        <w:tab w:val="center" w:pos="7243"/>
        <w:tab w:val="center" w:pos="10083"/>
      </w:tabs>
      <w:spacing w:after="0" w:line="259" w:lineRule="auto"/>
      <w:ind w:left="0" w:firstLine="0"/>
    </w:pPr>
    <w:r>
      <w:rPr>
        <w:rFonts w:ascii="Calibri" w:eastAsia="Calibri" w:hAnsi="Calibri" w:cs="Calibri"/>
        <w:sz w:val="22"/>
      </w:rPr>
      <w:tab/>
    </w:r>
    <w:r>
      <w:t xml:space="preserve">Issue </w:t>
    </w:r>
    <w:proofErr w:type="gramStart"/>
    <w:r>
      <w:t xml:space="preserve">Date  </w:t>
    </w:r>
    <w:r>
      <w:tab/>
    </w:r>
    <w:proofErr w:type="gramEnd"/>
    <w:r>
      <w:t xml:space="preserve">Superfund Fin. Mgmt. – State Cost Share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215B7" w14:textId="77777777" w:rsidR="00CB2988" w:rsidRDefault="00CB2988">
      <w:pPr>
        <w:spacing w:after="0" w:line="278" w:lineRule="auto"/>
        <w:ind w:left="0" w:firstLine="0"/>
      </w:pPr>
      <w:r>
        <w:separator/>
      </w:r>
    </w:p>
  </w:footnote>
  <w:footnote w:type="continuationSeparator" w:id="0">
    <w:p w14:paraId="744D7749" w14:textId="77777777" w:rsidR="00CB2988" w:rsidRDefault="00CB2988">
      <w:pPr>
        <w:spacing w:after="0" w:line="278" w:lineRule="auto"/>
        <w:ind w:left="0" w:firstLine="0"/>
      </w:pPr>
      <w:r>
        <w:continuationSeparator/>
      </w:r>
    </w:p>
  </w:footnote>
  <w:footnote w:id="1">
    <w:p w14:paraId="23345F00" w14:textId="2274E26C" w:rsidR="00EF655D" w:rsidRDefault="00EF655D">
      <w:pPr>
        <w:pStyle w:val="footnotedescription"/>
        <w:spacing w:line="259"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950D" w14:textId="77777777" w:rsidR="00EF655D" w:rsidRDefault="00CB2988">
    <w:pPr>
      <w:tabs>
        <w:tab w:val="center" w:pos="4321"/>
        <w:tab w:val="center" w:pos="7832"/>
      </w:tabs>
      <w:spacing w:after="0" w:line="259" w:lineRule="auto"/>
      <w:ind w:left="0" w:firstLine="0"/>
    </w:pPr>
    <w:r>
      <w:t xml:space="preserve">Policy Number:  2550D-09-P1-T1 </w:t>
    </w:r>
    <w:r>
      <w:tab/>
      <w:t xml:space="preserve"> </w:t>
    </w:r>
    <w:r>
      <w:tab/>
      <w:t xml:space="preserve">August 2, 2012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131B" w14:textId="74250B10" w:rsidR="00EF655D" w:rsidRDefault="00EF655D">
    <w:pPr>
      <w:tabs>
        <w:tab w:val="center" w:pos="4321"/>
        <w:tab w:val="center" w:pos="7832"/>
      </w:tabs>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9327D" w14:textId="77777777" w:rsidR="00EF655D" w:rsidRDefault="00CB2988">
    <w:pPr>
      <w:tabs>
        <w:tab w:val="center" w:pos="4321"/>
        <w:tab w:val="center" w:pos="7832"/>
      </w:tabs>
      <w:spacing w:after="0" w:line="259" w:lineRule="auto"/>
      <w:ind w:left="0" w:firstLine="0"/>
    </w:pPr>
    <w:r>
      <w:t xml:space="preserve">Policy Number:  2550D-09-P1-T1 </w:t>
    </w:r>
    <w:r>
      <w:tab/>
      <w:t xml:space="preserve"> </w:t>
    </w:r>
    <w:r>
      <w:tab/>
      <w:t xml:space="preserve">August 2, 2012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65"/>
    <w:multiLevelType w:val="hybridMultilevel"/>
    <w:tmpl w:val="FCD29B16"/>
    <w:lvl w:ilvl="0" w:tplc="0BD89EE2">
      <w:start w:val="1"/>
      <w:numFmt w:val="lowerLetter"/>
      <w:lvlText w:val="%1."/>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3668F6">
      <w:start w:val="1"/>
      <w:numFmt w:val="lowerRoman"/>
      <w:lvlText w:val="%2."/>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2E61348">
      <w:start w:val="1"/>
      <w:numFmt w:val="lowerRoman"/>
      <w:lvlText w:val="%3"/>
      <w:lvlJc w:val="left"/>
      <w:pPr>
        <w:ind w:left="27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D184D80">
      <w:start w:val="1"/>
      <w:numFmt w:val="decimal"/>
      <w:lvlText w:val="%4"/>
      <w:lvlJc w:val="left"/>
      <w:pPr>
        <w:ind w:left="34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E069490">
      <w:start w:val="1"/>
      <w:numFmt w:val="lowerLetter"/>
      <w:lvlText w:val="%5"/>
      <w:lvlJc w:val="left"/>
      <w:pPr>
        <w:ind w:left="42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C624D36">
      <w:start w:val="1"/>
      <w:numFmt w:val="lowerRoman"/>
      <w:lvlText w:val="%6"/>
      <w:lvlJc w:val="left"/>
      <w:pPr>
        <w:ind w:left="49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8C09F14">
      <w:start w:val="1"/>
      <w:numFmt w:val="decimal"/>
      <w:lvlText w:val="%7"/>
      <w:lvlJc w:val="left"/>
      <w:pPr>
        <w:ind w:left="56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1E486C4">
      <w:start w:val="1"/>
      <w:numFmt w:val="lowerLetter"/>
      <w:lvlText w:val="%8"/>
      <w:lvlJc w:val="left"/>
      <w:pPr>
        <w:ind w:left="63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BB48F70">
      <w:start w:val="1"/>
      <w:numFmt w:val="lowerRoman"/>
      <w:lvlText w:val="%9"/>
      <w:lvlJc w:val="left"/>
      <w:pPr>
        <w:ind w:left="70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D77E94"/>
    <w:multiLevelType w:val="hybridMultilevel"/>
    <w:tmpl w:val="A7947032"/>
    <w:lvl w:ilvl="0" w:tplc="B2D8A9A0">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0307BB0">
      <w:start w:val="5"/>
      <w:numFmt w:val="lowerRoman"/>
      <w:lvlText w:val="%2."/>
      <w:lvlJc w:val="left"/>
      <w:pPr>
        <w:ind w:left="22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C4259CC">
      <w:start w:val="1"/>
      <w:numFmt w:val="lowerRoman"/>
      <w:lvlText w:val="%3"/>
      <w:lvlJc w:val="left"/>
      <w:pPr>
        <w:ind w:left="270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2929C34">
      <w:start w:val="1"/>
      <w:numFmt w:val="decimal"/>
      <w:lvlText w:val="%4"/>
      <w:lvlJc w:val="left"/>
      <w:pPr>
        <w:ind w:left="34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5741466">
      <w:start w:val="1"/>
      <w:numFmt w:val="lowerLetter"/>
      <w:lvlText w:val="%5"/>
      <w:lvlJc w:val="left"/>
      <w:pPr>
        <w:ind w:left="414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EE8D584">
      <w:start w:val="1"/>
      <w:numFmt w:val="lowerRoman"/>
      <w:lvlText w:val="%6"/>
      <w:lvlJc w:val="left"/>
      <w:pPr>
        <w:ind w:left="486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31E0E40">
      <w:start w:val="1"/>
      <w:numFmt w:val="decimal"/>
      <w:lvlText w:val="%7"/>
      <w:lvlJc w:val="left"/>
      <w:pPr>
        <w:ind w:left="558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4203D58">
      <w:start w:val="1"/>
      <w:numFmt w:val="lowerLetter"/>
      <w:lvlText w:val="%8"/>
      <w:lvlJc w:val="left"/>
      <w:pPr>
        <w:ind w:left="630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8184142">
      <w:start w:val="1"/>
      <w:numFmt w:val="lowerRoman"/>
      <w:lvlText w:val="%9"/>
      <w:lvlJc w:val="left"/>
      <w:pPr>
        <w:ind w:left="70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92C04B2"/>
    <w:multiLevelType w:val="hybridMultilevel"/>
    <w:tmpl w:val="81645904"/>
    <w:lvl w:ilvl="0" w:tplc="8950372C">
      <w:start w:val="1"/>
      <w:numFmt w:val="lowerLetter"/>
      <w:lvlText w:val="%1."/>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538907C">
      <w:start w:val="1"/>
      <w:numFmt w:val="lowerLetter"/>
      <w:lvlText w:val="%2"/>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E642382">
      <w:start w:val="1"/>
      <w:numFmt w:val="lowerRoman"/>
      <w:lvlText w:val="%3"/>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B5A413A">
      <w:start w:val="1"/>
      <w:numFmt w:val="decimal"/>
      <w:lvlText w:val="%4"/>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444EC80">
      <w:start w:val="1"/>
      <w:numFmt w:val="lowerLetter"/>
      <w:lvlText w:val="%5"/>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A2631CA">
      <w:start w:val="1"/>
      <w:numFmt w:val="lowerRoman"/>
      <w:lvlText w:val="%6"/>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9D8365C">
      <w:start w:val="1"/>
      <w:numFmt w:val="decimal"/>
      <w:lvlText w:val="%7"/>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EA29CF0">
      <w:start w:val="1"/>
      <w:numFmt w:val="lowerLetter"/>
      <w:lvlText w:val="%8"/>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CEC9412">
      <w:start w:val="1"/>
      <w:numFmt w:val="lowerRoman"/>
      <w:lvlText w:val="%9"/>
      <w:lvlJc w:val="left"/>
      <w:pPr>
        <w:ind w:left="7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5D14CB"/>
    <w:multiLevelType w:val="hybridMultilevel"/>
    <w:tmpl w:val="A34284B0"/>
    <w:lvl w:ilvl="0" w:tplc="F83245D6">
      <w:start w:val="1"/>
      <w:numFmt w:val="decimal"/>
      <w:lvlText w:val="%1."/>
      <w:lvlJc w:val="left"/>
      <w:pPr>
        <w:ind w:left="14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998E44C">
      <w:start w:val="1"/>
      <w:numFmt w:val="lowerLetter"/>
      <w:lvlText w:val="%2."/>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19EDC06">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75CABC8">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34A6F2A">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B2CD7EA">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4A2D0E0">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6BC1A86">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D0AA0C4">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55D"/>
    <w:rsid w:val="00B25303"/>
    <w:rsid w:val="00CB2988"/>
    <w:rsid w:val="00EF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3289"/>
  <w15:docId w15:val="{ADD6B660-DE81-4C81-A6B0-FCABC411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78" w:lineRule="auto"/>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Heading1Char">
    <w:name w:val="Heading 1 Char"/>
    <w:link w:val="Heading1"/>
    <w:rPr>
      <w:rFonts w:ascii="Arial" w:eastAsia="Arial" w:hAnsi="Arial" w:cs="Arial"/>
      <w:b/>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intranet.epa.gov/ocfo/budget/budgetmemos.ht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intranet.epa.gov/ocfo/budget/budgetmemos.ht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ntranet.epa.gov/ocfo/budget/budgetmemos.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RMDS 2550D-09-P1-T1 Trust Fund Management Superfund Cooperative Agreements and Superfund State Contracts</dc:title>
  <dc:subject>Describes the steps to replace Superfund appropriated resources with SSC resources</dc:subject>
  <dc:creator>US EPA, OCFO, Office of Financial Management</dc:creator>
  <cp:keywords>superfund, appropriated resources, ssc, trust fund management</cp:keywords>
  <cp:lastModifiedBy>Terry Eppler</cp:lastModifiedBy>
  <cp:revision>2</cp:revision>
  <dcterms:created xsi:type="dcterms:W3CDTF">2021-06-20T00:28:00Z</dcterms:created>
  <dcterms:modified xsi:type="dcterms:W3CDTF">2021-06-20T00:28:00Z</dcterms:modified>
</cp:coreProperties>
</file>