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8"/>
        </w:rPr>
        <w:t>Zscaler GRC Executive Breakdown</w:t>
      </w:r>
    </w:p>
    <w:p>
      <w:pPr>
        <w:jc w:val="center"/>
      </w:pPr>
      <w:r>
        <w:rPr>
          <w:i/>
        </w:rPr>
        <w:t>Evidence-based governance, risk, and compliance briefing</w:t>
      </w:r>
    </w:p>
    <w:p>
      <w:r>
        <w:t>Prepared 13 October 2026 | Analytics window: 27 September–11 October 2026</w:t>
      </w:r>
    </w:p>
    <w:p>
      <w:pPr>
        <w:pStyle w:val="Heading1"/>
      </w:pPr>
      <w:r>
        <w:t>Executive summary</w:t>
      </w:r>
    </w:p>
    <w:p>
      <w:r>
        <w:t>The Zscaler environment is active and demonstrates material preventive-security coverage. Both inbound and outbound malware inspection are enabled. During the 14-day analytics window, the platform recorded 3,212,865 cyber-security incident events across 13 categories. These metrics are indicators of observed and/or blocked risky activity; they are not equivalent to confirmed compromises.</w:t>
      </w:r>
    </w:p>
    <w:p>
      <w:r>
        <w:t>Risk exposure is highly concentrated: 96.8% of all categorized events were attributed to MALWARE_SITE (70.3%) and SUSPICIOUS_DEST (26.5%). Two egress populations—Lifespan On-Prem Egress and Road Warrior—accounted for 94.3% of location-attributed events. This concentration creates an efficient remediation opportunity, but the scale requires timely validation of policy effectiveness, source attribution, and operational ownership.</w:t>
      </w:r>
    </w:p>
    <w:p>
      <w:r>
        <w:t>The current service credential was not authorized for ZDX device inventory or alert data. Consequently, endpoint experience, active-alert, and device-level control assurance cannot be attested from this assessment. CASB application-usage analytics returned no results for the same 14-day period; this is an evidence gap, not proof that no SaaS activity occurred.</w:t>
      </w:r>
    </w:p>
    <w:p>
      <w:pPr>
        <w:pStyle w:val="Heading1"/>
      </w:pPr>
      <w:r>
        <w:t>Board-level dashboard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8"/>
            <w:vAlign w:val="center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2556"/>
            <w:shd w:fill="1F4E78"/>
            <w:vAlign w:val="center"/>
          </w:tcPr>
          <w:p>
            <w:r>
              <w:rPr>
                <w:b/>
                <w:color w:val="FFFFFF"/>
              </w:rPr>
              <w:t>Observed evidence</w:t>
            </w:r>
          </w:p>
        </w:tc>
        <w:tc>
          <w:tcPr>
            <w:tcW w:type="dxa" w:w="2556"/>
            <w:shd w:fill="1F4E78"/>
            <w:vAlign w:val="center"/>
          </w:tcPr>
          <w:p>
            <w:r>
              <w:rPr>
                <w:b/>
                <w:color w:val="FFFFFF"/>
              </w:rPr>
              <w:t>Executive interpretation</w:t>
            </w:r>
          </w:p>
        </w:tc>
        <w:tc>
          <w:tcPr>
            <w:tcW w:type="dxa" w:w="2556"/>
            <w:shd w:fill="1F4E78"/>
            <w:vAlign w:val="center"/>
          </w:tcPr>
          <w:p>
            <w:r>
              <w:rPr>
                <w:b/>
                <w:color w:val="FFFFFF"/>
              </w:rPr>
              <w:t>Rating</w:t>
            </w:r>
          </w:p>
        </w:tc>
      </w:tr>
      <w:tr>
        <w:tc>
          <w:tcPr>
            <w:tcW w:type="dxa" w:w="2556"/>
            <w:vAlign w:val="center"/>
          </w:tcPr>
          <w:p>
            <w:r>
              <w:t>Control operation</w:t>
            </w:r>
          </w:p>
        </w:tc>
        <w:tc>
          <w:tcPr>
            <w:tcW w:type="dxa" w:w="2556"/>
            <w:vAlign w:val="center"/>
          </w:tcPr>
          <w:p>
            <w:r>
              <w:t>ZIA activation status: ACTIVE</w:t>
            </w:r>
          </w:p>
        </w:tc>
        <w:tc>
          <w:tcPr>
            <w:tcW w:type="dxa" w:w="2556"/>
            <w:vAlign w:val="center"/>
          </w:tcPr>
          <w:p>
            <w:r>
              <w:t>Core cloud-security policy plane is operating.</w:t>
            </w:r>
          </w:p>
        </w:tc>
        <w:tc>
          <w:tcPr>
            <w:tcW w:type="dxa" w:w="2556"/>
            <w:vAlign w:val="center"/>
          </w:tcPr>
          <w:p>
            <w:r>
              <w:t>Positive</w:t>
            </w:r>
          </w:p>
        </w:tc>
      </w:tr>
      <w:tr>
        <w:tc>
          <w:tcPr>
            <w:tcW w:type="dxa" w:w="2556"/>
            <w:vAlign w:val="center"/>
          </w:tcPr>
          <w:p>
            <w:r>
              <w:t>Malware prevention</w:t>
            </w:r>
          </w:p>
        </w:tc>
        <w:tc>
          <w:tcPr>
            <w:tcW w:type="dxa" w:w="2556"/>
            <w:vAlign w:val="center"/>
          </w:tcPr>
          <w:p>
            <w:r>
              <w:t>Inbound and outbound inspection enabled</w:t>
            </w:r>
          </w:p>
        </w:tc>
        <w:tc>
          <w:tcPr>
            <w:tcW w:type="dxa" w:w="2556"/>
            <w:vAlign w:val="center"/>
          </w:tcPr>
          <w:p>
            <w:r>
              <w:t>Coverage exists for both traffic directions; test efficacy and exceptions.</w:t>
            </w:r>
          </w:p>
        </w:tc>
        <w:tc>
          <w:tcPr>
            <w:tcW w:type="dxa" w:w="2556"/>
            <w:vAlign w:val="center"/>
          </w:tcPr>
          <w:p>
            <w:r>
              <w:t>Positive / validate</w:t>
            </w:r>
          </w:p>
        </w:tc>
      </w:tr>
      <w:tr>
        <w:tc>
          <w:tcPr>
            <w:tcW w:type="dxa" w:w="2556"/>
            <w:vAlign w:val="center"/>
          </w:tcPr>
          <w:p>
            <w:r>
              <w:t>Threat telemetry</w:t>
            </w:r>
          </w:p>
        </w:tc>
        <w:tc>
          <w:tcPr>
            <w:tcW w:type="dxa" w:w="2556"/>
            <w:vAlign w:val="center"/>
          </w:tcPr>
          <w:p>
            <w:r>
              <w:t>3,212,865 categorized events in 14 days</w:t>
            </w:r>
          </w:p>
        </w:tc>
        <w:tc>
          <w:tcPr>
            <w:tcW w:type="dxa" w:w="2556"/>
            <w:vAlign w:val="center"/>
          </w:tcPr>
          <w:p>
            <w:r>
              <w:t>High-volume risk activity requires trend, block/allow, and escalation analysis.</w:t>
            </w:r>
          </w:p>
        </w:tc>
        <w:tc>
          <w:tcPr>
            <w:tcW w:type="dxa" w:w="2556"/>
            <w:vAlign w:val="center"/>
          </w:tcPr>
          <w:p>
            <w:r>
              <w:t>Elevated</w:t>
            </w:r>
          </w:p>
        </w:tc>
      </w:tr>
      <w:tr>
        <w:tc>
          <w:tcPr>
            <w:tcW w:type="dxa" w:w="2556"/>
            <w:vAlign w:val="center"/>
          </w:tcPr>
          <w:p>
            <w:r>
              <w:t>Exposure concentration</w:t>
            </w:r>
          </w:p>
        </w:tc>
        <w:tc>
          <w:tcPr>
            <w:tcW w:type="dxa" w:w="2556"/>
            <w:vAlign w:val="center"/>
          </w:tcPr>
          <w:p>
            <w:r>
              <w:t>96.8% in malware-site and suspicious-destination categories</w:t>
            </w:r>
          </w:p>
        </w:tc>
        <w:tc>
          <w:tcPr>
            <w:tcW w:type="dxa" w:w="2556"/>
            <w:vAlign w:val="center"/>
          </w:tcPr>
          <w:p>
            <w:r>
              <w:t>Prioritize the highest-volume threat paths and root causes.</w:t>
            </w:r>
          </w:p>
        </w:tc>
        <w:tc>
          <w:tcPr>
            <w:tcW w:type="dxa" w:w="2556"/>
            <w:vAlign w:val="center"/>
          </w:tcPr>
          <w:p>
            <w:r>
              <w:t>Elevated</w:t>
            </w:r>
          </w:p>
        </w:tc>
      </w:tr>
      <w:tr>
        <w:tc>
          <w:tcPr>
            <w:tcW w:type="dxa" w:w="2556"/>
            <w:vAlign w:val="center"/>
          </w:tcPr>
          <w:p>
            <w:r>
              <w:t>Endpoint assurance</w:t>
            </w:r>
          </w:p>
        </w:tc>
        <w:tc>
          <w:tcPr>
            <w:tcW w:type="dxa" w:w="2556"/>
            <w:vAlign w:val="center"/>
          </w:tcPr>
          <w:p>
            <w:r>
              <w:t>ZDX calls returned HTTP 403</w:t>
            </w:r>
          </w:p>
        </w:tc>
        <w:tc>
          <w:tcPr>
            <w:tcW w:type="dxa" w:w="2556"/>
            <w:vAlign w:val="center"/>
          </w:tcPr>
          <w:p>
            <w:r>
              <w:t>No evidence available for device health or active experience alerts.</w:t>
            </w:r>
          </w:p>
        </w:tc>
        <w:tc>
          <w:tcPr>
            <w:tcW w:type="dxa" w:w="2556"/>
            <w:vAlign w:val="center"/>
          </w:tcPr>
          <w:p>
            <w:r>
              <w:t>Control gap</w:t>
            </w:r>
          </w:p>
        </w:tc>
      </w:tr>
      <w:tr>
        <w:tc>
          <w:tcPr>
            <w:tcW w:type="dxa" w:w="2556"/>
            <w:vAlign w:val="center"/>
          </w:tcPr>
          <w:p>
            <w:r>
              <w:t>SaaS governance</w:t>
            </w:r>
          </w:p>
        </w:tc>
        <w:tc>
          <w:tcPr>
            <w:tcW w:type="dxa" w:w="2556"/>
            <w:vAlign w:val="center"/>
          </w:tcPr>
          <w:p>
            <w:r>
              <w:t>CASB report returned no records</w:t>
            </w:r>
          </w:p>
        </w:tc>
        <w:tc>
          <w:tcPr>
            <w:tcW w:type="dxa" w:w="2556"/>
            <w:vAlign w:val="center"/>
          </w:tcPr>
          <w:p>
            <w:r>
              <w:t>Validate telemetry scope, entitlement, retention, and report parameters.</w:t>
            </w:r>
          </w:p>
        </w:tc>
        <w:tc>
          <w:tcPr>
            <w:tcW w:type="dxa" w:w="2556"/>
            <w:vAlign w:val="center"/>
          </w:tcPr>
          <w:p>
            <w:r>
              <w:t>Control gap</w:t>
            </w:r>
          </w:p>
        </w:tc>
      </w:tr>
    </w:tbl>
    <w:p/>
    <w:p>
      <w:pPr>
        <w:pStyle w:val="Heading1"/>
      </w:pPr>
      <w:r>
        <w:t>Risk telemetry and prioritization</w:t>
      </w:r>
    </w:p>
    <w:p>
      <w:r>
        <w:t>Counts below represent Zscaler cyber-security incident analytics for the stated 14-day window. Confirm whether these events were blocked, allowed, or remediated before classifying residual risk or reporting incidents externally.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8"/>
            <w:vAlign w:val="center"/>
          </w:tcPr>
          <w:p>
            <w:r>
              <w:rPr>
                <w:b/>
                <w:color w:val="FFFFFF"/>
              </w:rPr>
              <w:t>Threat category</w:t>
            </w:r>
          </w:p>
        </w:tc>
        <w:tc>
          <w:tcPr>
            <w:tcW w:type="dxa" w:w="2556"/>
            <w:shd w:fill="1F4E78"/>
            <w:vAlign w:val="center"/>
          </w:tcPr>
          <w:p>
            <w:r>
              <w:rPr>
                <w:b/>
                <w:color w:val="FFFFFF"/>
              </w:rPr>
              <w:t>Events</w:t>
            </w:r>
          </w:p>
        </w:tc>
        <w:tc>
          <w:tcPr>
            <w:tcW w:type="dxa" w:w="2556"/>
            <w:shd w:fill="1F4E78"/>
            <w:vAlign w:val="center"/>
          </w:tcPr>
          <w:p>
            <w:r>
              <w:rPr>
                <w:b/>
                <w:color w:val="FFFFFF"/>
              </w:rPr>
              <w:t>Share of total</w:t>
            </w:r>
          </w:p>
        </w:tc>
        <w:tc>
          <w:tcPr>
            <w:tcW w:type="dxa" w:w="2556"/>
            <w:shd w:fill="1F4E78"/>
            <w:vAlign w:val="center"/>
          </w:tcPr>
          <w:p>
            <w:r>
              <w:rPr>
                <w:b/>
                <w:color w:val="FFFFFF"/>
              </w:rPr>
              <w:t>GRC implication</w:t>
            </w:r>
          </w:p>
        </w:tc>
      </w:tr>
      <w:tr>
        <w:tc>
          <w:tcPr>
            <w:tcW w:type="dxa" w:w="2556"/>
            <w:vAlign w:val="center"/>
          </w:tcPr>
          <w:p>
            <w:r>
              <w:t>MALWARE_SITE</w:t>
            </w:r>
          </w:p>
        </w:tc>
        <w:tc>
          <w:tcPr>
            <w:tcW w:type="dxa" w:w="2556"/>
            <w:vAlign w:val="center"/>
          </w:tcPr>
          <w:p>
            <w:r>
              <w:t>2,258,928</w:t>
            </w:r>
          </w:p>
        </w:tc>
        <w:tc>
          <w:tcPr>
            <w:tcW w:type="dxa" w:w="2556"/>
            <w:vAlign w:val="center"/>
          </w:tcPr>
          <w:p>
            <w:r>
              <w:t>70.3%</w:t>
            </w:r>
          </w:p>
        </w:tc>
        <w:tc>
          <w:tcPr>
            <w:tcW w:type="dxa" w:w="2556"/>
            <w:vAlign w:val="center"/>
          </w:tcPr>
          <w:p>
            <w:r>
              <w:t>Assess recurring destination patterns, policy actions, and blocked-versus-allowed outcomes.</w:t>
            </w:r>
          </w:p>
        </w:tc>
      </w:tr>
      <w:tr>
        <w:tc>
          <w:tcPr>
            <w:tcW w:type="dxa" w:w="2556"/>
            <w:vAlign w:val="center"/>
          </w:tcPr>
          <w:p>
            <w:r>
              <w:t>SUSPICIOUS_DEST</w:t>
            </w:r>
          </w:p>
        </w:tc>
        <w:tc>
          <w:tcPr>
            <w:tcW w:type="dxa" w:w="2556"/>
            <w:vAlign w:val="center"/>
          </w:tcPr>
          <w:p>
            <w:r>
              <w:t>851,876</w:t>
            </w:r>
          </w:p>
        </w:tc>
        <w:tc>
          <w:tcPr>
            <w:tcW w:type="dxa" w:w="2556"/>
            <w:vAlign w:val="center"/>
          </w:tcPr>
          <w:p>
            <w:r>
              <w:t>26.5%</w:t>
            </w:r>
          </w:p>
        </w:tc>
        <w:tc>
          <w:tcPr>
            <w:tcW w:type="dxa" w:w="2556"/>
            <w:vAlign w:val="center"/>
          </w:tcPr>
          <w:p>
            <w:r>
              <w:t>Investigate destination reputation, user/system source populations, and escalation thresholds.</w:t>
            </w:r>
          </w:p>
        </w:tc>
      </w:tr>
      <w:tr>
        <w:tc>
          <w:tcPr>
            <w:tcW w:type="dxa" w:w="2556"/>
            <w:vAlign w:val="center"/>
          </w:tcPr>
          <w:p>
            <w:r>
              <w:t>ADSPYWARE_SITES</w:t>
            </w:r>
          </w:p>
        </w:tc>
        <w:tc>
          <w:tcPr>
            <w:tcW w:type="dxa" w:w="2556"/>
            <w:vAlign w:val="center"/>
          </w:tcPr>
          <w:p>
            <w:r>
              <w:t>99,494</w:t>
            </w:r>
          </w:p>
        </w:tc>
        <w:tc>
          <w:tcPr>
            <w:tcW w:type="dxa" w:w="2556"/>
            <w:vAlign w:val="center"/>
          </w:tcPr>
          <w:p>
            <w:r>
              <w:t>3.1%</w:t>
            </w:r>
          </w:p>
        </w:tc>
        <w:tc>
          <w:tcPr>
            <w:tcW w:type="dxa" w:w="2556"/>
            <w:vAlign w:val="center"/>
          </w:tcPr>
          <w:p>
            <w:r>
              <w:t>Review adware/spyware controls and browser or endpoint hygiene dependencies.</w:t>
            </w:r>
          </w:p>
        </w:tc>
      </w:tr>
      <w:tr>
        <w:tc>
          <w:tcPr>
            <w:tcW w:type="dxa" w:w="2556"/>
            <w:vAlign w:val="center"/>
          </w:tcPr>
          <w:p>
            <w:r>
              <w:t>PHISHING</w:t>
            </w:r>
          </w:p>
        </w:tc>
        <w:tc>
          <w:tcPr>
            <w:tcW w:type="dxa" w:w="2556"/>
            <w:vAlign w:val="center"/>
          </w:tcPr>
          <w:p>
            <w:r>
              <w:t>1,405</w:t>
            </w:r>
          </w:p>
        </w:tc>
        <w:tc>
          <w:tcPr>
            <w:tcW w:type="dxa" w:w="2556"/>
            <w:vAlign w:val="center"/>
          </w:tcPr>
          <w:p>
            <w:r>
              <w:t>&lt;0.1%</w:t>
            </w:r>
          </w:p>
        </w:tc>
        <w:tc>
          <w:tcPr>
            <w:tcW w:type="dxa" w:w="2556"/>
            <w:vAlign w:val="center"/>
          </w:tcPr>
          <w:p>
            <w:r>
              <w:t>Validate anti-phishing policy coverage, user reporting, and security-awareness follow-up.</w:t>
            </w:r>
          </w:p>
        </w:tc>
      </w:tr>
      <w:tr>
        <w:tc>
          <w:tcPr>
            <w:tcW w:type="dxa" w:w="2556"/>
            <w:vAlign w:val="center"/>
          </w:tcPr>
          <w:p>
            <w:r>
              <w:t>XSS</w:t>
            </w:r>
          </w:p>
        </w:tc>
        <w:tc>
          <w:tcPr>
            <w:tcW w:type="dxa" w:w="2556"/>
            <w:vAlign w:val="center"/>
          </w:tcPr>
          <w:p>
            <w:r>
              <w:t>699</w:t>
            </w:r>
          </w:p>
        </w:tc>
        <w:tc>
          <w:tcPr>
            <w:tcW w:type="dxa" w:w="2556"/>
            <w:vAlign w:val="center"/>
          </w:tcPr>
          <w:p>
            <w:r>
              <w:t>&lt;0.1%</w:t>
            </w:r>
          </w:p>
        </w:tc>
        <w:tc>
          <w:tcPr>
            <w:tcW w:type="dxa" w:w="2556"/>
            <w:vAlign w:val="center"/>
          </w:tcPr>
          <w:p>
            <w:r>
              <w:t>Review web-control rules and application-protection ownership.</w:t>
            </w:r>
          </w:p>
        </w:tc>
      </w:tr>
      <w:tr>
        <w:tc>
          <w:tcPr>
            <w:tcW w:type="dxa" w:w="2556"/>
            <w:vAlign w:val="center"/>
          </w:tcPr>
          <w:p>
            <w:r>
              <w:t>VIRUS / SPYWARE / BA_MALWARE</w:t>
            </w:r>
          </w:p>
        </w:tc>
        <w:tc>
          <w:tcPr>
            <w:tcW w:type="dxa" w:w="2556"/>
            <w:vAlign w:val="center"/>
          </w:tcPr>
          <w:p>
            <w:r>
              <w:t>410</w:t>
            </w:r>
          </w:p>
        </w:tc>
        <w:tc>
          <w:tcPr>
            <w:tcW w:type="dxa" w:w="2556"/>
            <w:vAlign w:val="center"/>
          </w:tcPr>
          <w:p>
            <w:r>
              <w:t>&lt;0.1%</w:t>
            </w:r>
          </w:p>
        </w:tc>
        <w:tc>
          <w:tcPr>
            <w:tcW w:type="dxa" w:w="2556"/>
            <w:vAlign w:val="center"/>
          </w:tcPr>
          <w:p>
            <w:r>
              <w:t>Confirm sandboxing, block actions, and incident-response handoffs.</w:t>
            </w:r>
          </w:p>
        </w:tc>
      </w:tr>
      <w:tr>
        <w:tc>
          <w:tcPr>
            <w:tcW w:type="dxa" w:w="2556"/>
            <w:vAlign w:val="center"/>
          </w:tcPr>
          <w:p>
            <w:r>
              <w:t>Other (incl. cryptomining, botnet, exploit)</w:t>
            </w:r>
          </w:p>
        </w:tc>
        <w:tc>
          <w:tcPr>
            <w:tcW w:type="dxa" w:w="2556"/>
            <w:vAlign w:val="center"/>
          </w:tcPr>
          <w:p>
            <w:r>
              <w:t>53</w:t>
            </w:r>
          </w:p>
        </w:tc>
        <w:tc>
          <w:tcPr>
            <w:tcW w:type="dxa" w:w="2556"/>
            <w:vAlign w:val="center"/>
          </w:tcPr>
          <w:p>
            <w:r>
              <w:t>&lt;0.1%</w:t>
            </w:r>
          </w:p>
        </w:tc>
        <w:tc>
          <w:tcPr>
            <w:tcW w:type="dxa" w:w="2556"/>
            <w:vAlign w:val="center"/>
          </w:tcPr>
          <w:p>
            <w:r>
              <w:t>Maintain detection coverage; triage for severity and recurrence.</w:t>
            </w:r>
          </w:p>
        </w:tc>
      </w:tr>
    </w:tbl>
    <w:p/>
    <w:p>
      <w:pPr>
        <w:pStyle w:val="Heading1"/>
      </w:pPr>
      <w:r>
        <w:t>Location-based concentration</w:t>
      </w:r>
    </w:p>
    <w:p>
      <w:r>
        <w:t>The leading locations account for the largest measured event volumes. Location names suggest a mix of on-premises egress, remote-user traffic, clinical/application server segments, and Azure tunnels. These are prioritization signals only; they do not prove that a named application, network, or user was compromised.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8"/>
            <w:vAlign w:val="center"/>
          </w:tcPr>
          <w:p>
            <w:r>
              <w:rPr>
                <w:b/>
                <w:color w:val="FFFFFF"/>
              </w:rPr>
              <w:t>Rank</w:t>
            </w:r>
          </w:p>
        </w:tc>
        <w:tc>
          <w:tcPr>
            <w:tcW w:type="dxa" w:w="2556"/>
            <w:shd w:fill="1F4E78"/>
            <w:vAlign w:val="center"/>
          </w:tcPr>
          <w:p>
            <w:r>
              <w:rPr>
                <w:b/>
                <w:color w:val="FFFFFF"/>
              </w:rPr>
              <w:t>Location / egress population</w:t>
            </w:r>
          </w:p>
        </w:tc>
        <w:tc>
          <w:tcPr>
            <w:tcW w:type="dxa" w:w="2556"/>
            <w:shd w:fill="1F4E78"/>
            <w:vAlign w:val="center"/>
          </w:tcPr>
          <w:p>
            <w:r>
              <w:rPr>
                <w:b/>
                <w:color w:val="FFFFFF"/>
              </w:rPr>
              <w:t>Events</w:t>
            </w:r>
          </w:p>
        </w:tc>
        <w:tc>
          <w:tcPr>
            <w:tcW w:type="dxa" w:w="2556"/>
            <w:shd w:fill="1F4E78"/>
            <w:vAlign w:val="center"/>
          </w:tcPr>
          <w:p>
            <w:r>
              <w:rPr>
                <w:b/>
                <w:color w:val="FFFFFF"/>
              </w:rPr>
              <w:t>Share of total</w:t>
            </w:r>
          </w:p>
        </w:tc>
      </w:tr>
      <w:tr>
        <w:tc>
          <w:tcPr>
            <w:tcW w:type="dxa" w:w="2556"/>
            <w:vAlign w:val="center"/>
          </w:tcPr>
          <w:p>
            <w:r>
              <w:t>1</w:t>
            </w:r>
          </w:p>
        </w:tc>
        <w:tc>
          <w:tcPr>
            <w:tcW w:type="dxa" w:w="2556"/>
            <w:vAlign w:val="center"/>
          </w:tcPr>
          <w:p>
            <w:r>
              <w:t>Lifespan On-Prem Egress</w:t>
            </w:r>
          </w:p>
        </w:tc>
        <w:tc>
          <w:tcPr>
            <w:tcW w:type="dxa" w:w="2556"/>
            <w:vAlign w:val="center"/>
          </w:tcPr>
          <w:p>
            <w:r>
              <w:t>2,228,864</w:t>
            </w:r>
          </w:p>
        </w:tc>
        <w:tc>
          <w:tcPr>
            <w:tcW w:type="dxa" w:w="2556"/>
            <w:vAlign w:val="center"/>
          </w:tcPr>
          <w:p>
            <w:r>
              <w:t>69.4%</w:t>
            </w:r>
          </w:p>
        </w:tc>
      </w:tr>
      <w:tr>
        <w:tc>
          <w:tcPr>
            <w:tcW w:type="dxa" w:w="2556"/>
            <w:vAlign w:val="center"/>
          </w:tcPr>
          <w:p>
            <w:r>
              <w:t>2</w:t>
            </w:r>
          </w:p>
        </w:tc>
        <w:tc>
          <w:tcPr>
            <w:tcW w:type="dxa" w:w="2556"/>
            <w:vAlign w:val="center"/>
          </w:tcPr>
          <w:p>
            <w:r>
              <w:t>Road Warrior</w:t>
            </w:r>
          </w:p>
        </w:tc>
        <w:tc>
          <w:tcPr>
            <w:tcW w:type="dxa" w:w="2556"/>
            <w:vAlign w:val="center"/>
          </w:tcPr>
          <w:p>
            <w:r>
              <w:t>801,089</w:t>
            </w:r>
          </w:p>
        </w:tc>
        <w:tc>
          <w:tcPr>
            <w:tcW w:type="dxa" w:w="2556"/>
            <w:vAlign w:val="center"/>
          </w:tcPr>
          <w:p>
            <w:r>
              <w:t>24.9%</w:t>
            </w:r>
          </w:p>
        </w:tc>
      </w:tr>
      <w:tr>
        <w:tc>
          <w:tcPr>
            <w:tcW w:type="dxa" w:w="2556"/>
            <w:vAlign w:val="center"/>
          </w:tcPr>
          <w:p>
            <w:r>
              <w:t>3</w:t>
            </w:r>
          </w:p>
        </w:tc>
        <w:tc>
          <w:tcPr>
            <w:tcW w:type="dxa" w:w="2556"/>
            <w:vAlign w:val="center"/>
          </w:tcPr>
          <w:p>
            <w:r>
              <w:t>DC - Windows Systems - Citrix App Servers</w:t>
            </w:r>
          </w:p>
        </w:tc>
        <w:tc>
          <w:tcPr>
            <w:tcW w:type="dxa" w:w="2556"/>
            <w:vAlign w:val="center"/>
          </w:tcPr>
          <w:p>
            <w:r>
              <w:t>43,734</w:t>
            </w:r>
          </w:p>
        </w:tc>
        <w:tc>
          <w:tcPr>
            <w:tcW w:type="dxa" w:w="2556"/>
            <w:vAlign w:val="center"/>
          </w:tcPr>
          <w:p>
            <w:r>
              <w:t>1.4%</w:t>
            </w:r>
          </w:p>
        </w:tc>
      </w:tr>
      <w:tr>
        <w:tc>
          <w:tcPr>
            <w:tcW w:type="dxa" w:w="2556"/>
            <w:vAlign w:val="center"/>
          </w:tcPr>
          <w:p>
            <w:r>
              <w:t>4</w:t>
            </w:r>
          </w:p>
        </w:tc>
        <w:tc>
          <w:tcPr>
            <w:tcW w:type="dxa" w:w="2556"/>
            <w:vAlign w:val="center"/>
          </w:tcPr>
          <w:p>
            <w:r>
              <w:t>DC - Windows Systems - Epic</w:t>
            </w:r>
          </w:p>
        </w:tc>
        <w:tc>
          <w:tcPr>
            <w:tcW w:type="dxa" w:w="2556"/>
            <w:vAlign w:val="center"/>
          </w:tcPr>
          <w:p>
            <w:r>
              <w:t>38,846</w:t>
            </w:r>
          </w:p>
        </w:tc>
        <w:tc>
          <w:tcPr>
            <w:tcW w:type="dxa" w:w="2556"/>
            <w:vAlign w:val="center"/>
          </w:tcPr>
          <w:p>
            <w:r>
              <w:t>1.2%</w:t>
            </w:r>
          </w:p>
        </w:tc>
      </w:tr>
      <w:tr>
        <w:tc>
          <w:tcPr>
            <w:tcW w:type="dxa" w:w="2556"/>
            <w:vAlign w:val="center"/>
          </w:tcPr>
          <w:p>
            <w:r>
              <w:t>5</w:t>
            </w:r>
          </w:p>
        </w:tc>
        <w:tc>
          <w:tcPr>
            <w:tcW w:type="dxa" w:w="2556"/>
            <w:vAlign w:val="center"/>
          </w:tcPr>
          <w:p>
            <w:r>
              <w:t>DC - Spanned Epic Prod</w:t>
            </w:r>
          </w:p>
        </w:tc>
        <w:tc>
          <w:tcPr>
            <w:tcW w:type="dxa" w:w="2556"/>
            <w:vAlign w:val="center"/>
          </w:tcPr>
          <w:p>
            <w:r>
              <w:t>16,054</w:t>
            </w:r>
          </w:p>
        </w:tc>
        <w:tc>
          <w:tcPr>
            <w:tcW w:type="dxa" w:w="2556"/>
            <w:vAlign w:val="center"/>
          </w:tcPr>
          <w:p>
            <w:r>
              <w:t>0.5%</w:t>
            </w:r>
          </w:p>
        </w:tc>
      </w:tr>
    </w:tbl>
    <w:p/>
    <w:p>
      <w:r>
        <w:t>The two highest-volume populations total 3,029,953 events (94.3%). Establishing a common baseline for user, tunnel, proxy, and policy attribution across those populations is the highest-value next step.</w:t>
      </w:r>
    </w:p>
    <w:p>
      <w:pPr>
        <w:pStyle w:val="Heading1"/>
      </w:pPr>
      <w:r>
        <w:t>Governance and control assessment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8"/>
            <w:vAlign w:val="center"/>
          </w:tcPr>
          <w:p>
            <w:r>
              <w:rPr>
                <w:b/>
                <w:color w:val="FFFFFF"/>
              </w:rPr>
              <w:t>GRC domain</w:t>
            </w:r>
          </w:p>
        </w:tc>
        <w:tc>
          <w:tcPr>
            <w:tcW w:type="dxa" w:w="2556"/>
            <w:shd w:fill="1F4E78"/>
            <w:vAlign w:val="center"/>
          </w:tcPr>
          <w:p>
            <w:r>
              <w:rPr>
                <w:b/>
                <w:color w:val="FFFFFF"/>
              </w:rPr>
              <w:t>Evidence</w:t>
            </w:r>
          </w:p>
        </w:tc>
        <w:tc>
          <w:tcPr>
            <w:tcW w:type="dxa" w:w="2556"/>
            <w:shd w:fill="1F4E78"/>
            <w:vAlign w:val="center"/>
          </w:tcPr>
          <w:p>
            <w:r>
              <w:rPr>
                <w:b/>
                <w:color w:val="FFFFFF"/>
              </w:rPr>
              <w:t>Assessment</w:t>
            </w:r>
          </w:p>
        </w:tc>
        <w:tc>
          <w:tcPr>
            <w:tcW w:type="dxa" w:w="2556"/>
            <w:shd w:fill="1F4E78"/>
            <w:vAlign w:val="center"/>
          </w:tcPr>
          <w:p>
            <w:r>
              <w:rPr>
                <w:b/>
                <w:color w:val="FFFFFF"/>
              </w:rPr>
              <w:t>Recommended control activity</w:t>
            </w:r>
          </w:p>
        </w:tc>
      </w:tr>
      <w:tr>
        <w:tc>
          <w:tcPr>
            <w:tcW w:type="dxa" w:w="2556"/>
            <w:vAlign w:val="center"/>
          </w:tcPr>
          <w:p>
            <w:r>
              <w:t>Governance</w:t>
            </w:r>
          </w:p>
        </w:tc>
        <w:tc>
          <w:tcPr>
            <w:tcW w:type="dxa" w:w="2556"/>
            <w:vAlign w:val="center"/>
          </w:tcPr>
          <w:p>
            <w:r>
              <w:t>ZIA is active; no change-management evidence was retrieved.</w:t>
            </w:r>
          </w:p>
        </w:tc>
        <w:tc>
          <w:tcPr>
            <w:tcW w:type="dxa" w:w="2556"/>
            <w:vAlign w:val="center"/>
          </w:tcPr>
          <w:p>
            <w:r>
              <w:t>Operating platform status is visible, but governance artifacts were not assessed.</w:t>
            </w:r>
          </w:p>
        </w:tc>
        <w:tc>
          <w:tcPr>
            <w:tcW w:type="dxa" w:w="2556"/>
            <w:vAlign w:val="center"/>
          </w:tcPr>
          <w:p>
            <w:r>
              <w:t>Tie policy changes to approved change records; retain quarterly control-owner attestations.</w:t>
            </w:r>
          </w:p>
        </w:tc>
      </w:tr>
      <w:tr>
        <w:tc>
          <w:tcPr>
            <w:tcW w:type="dxa" w:w="2556"/>
            <w:vAlign w:val="center"/>
          </w:tcPr>
          <w:p>
            <w:r>
              <w:t>Risk management</w:t>
            </w:r>
          </w:p>
        </w:tc>
        <w:tc>
          <w:tcPr>
            <w:tcW w:type="dxa" w:w="2556"/>
            <w:vAlign w:val="center"/>
          </w:tcPr>
          <w:p>
            <w:r>
              <w:t>Threat-event concentration is measurable.</w:t>
            </w:r>
          </w:p>
        </w:tc>
        <w:tc>
          <w:tcPr>
            <w:tcW w:type="dxa" w:w="2556"/>
            <w:vAlign w:val="center"/>
          </w:tcPr>
          <w:p>
            <w:r>
              <w:t>Risk is concentrated enough for targeted mitigation, but block/allow outcomes were not retrieved.</w:t>
            </w:r>
          </w:p>
        </w:tc>
        <w:tc>
          <w:tcPr>
            <w:tcW w:type="dxa" w:w="2556"/>
            <w:vAlign w:val="center"/>
          </w:tcPr>
          <w:p>
            <w:r>
              <w:t>Define KRIs for volume, blocked rate, recurrence, and high-risk source populations.</w:t>
            </w:r>
          </w:p>
        </w:tc>
      </w:tr>
      <w:tr>
        <w:tc>
          <w:tcPr>
            <w:tcW w:type="dxa" w:w="2556"/>
            <w:vAlign w:val="center"/>
          </w:tcPr>
          <w:p>
            <w:r>
              <w:t>Security operations</w:t>
            </w:r>
          </w:p>
        </w:tc>
        <w:tc>
          <w:tcPr>
            <w:tcW w:type="dxa" w:w="2556"/>
            <w:vAlign w:val="center"/>
          </w:tcPr>
          <w:p>
            <w:r>
              <w:t>Malware inspection is enabled both directions.</w:t>
            </w:r>
          </w:p>
        </w:tc>
        <w:tc>
          <w:tcPr>
            <w:tcW w:type="dxa" w:w="2556"/>
            <w:vAlign w:val="center"/>
          </w:tcPr>
          <w:p>
            <w:r>
              <w:t>Preventive coverage exists; detection-to-response effectiveness remains unverified.</w:t>
            </w:r>
          </w:p>
        </w:tc>
        <w:tc>
          <w:tcPr>
            <w:tcW w:type="dxa" w:w="2556"/>
            <w:vAlign w:val="center"/>
          </w:tcPr>
          <w:p>
            <w:r>
              <w:t>Sample high-volume events and test case creation, ownership, and closure evidence.</w:t>
            </w:r>
          </w:p>
        </w:tc>
      </w:tr>
      <w:tr>
        <w:tc>
          <w:tcPr>
            <w:tcW w:type="dxa" w:w="2556"/>
            <w:vAlign w:val="center"/>
          </w:tcPr>
          <w:p>
            <w:r>
              <w:t>Asset / endpoint assurance</w:t>
            </w:r>
          </w:p>
        </w:tc>
        <w:tc>
          <w:tcPr>
            <w:tcW w:type="dxa" w:w="2556"/>
            <w:vAlign w:val="center"/>
          </w:tcPr>
          <w:p>
            <w:r>
              <w:t>ZDX API authorization denied.</w:t>
            </w:r>
          </w:p>
        </w:tc>
        <w:tc>
          <w:tcPr>
            <w:tcW w:type="dxa" w:w="2556"/>
            <w:vAlign w:val="center"/>
          </w:tcPr>
          <w:p>
            <w:r>
              <w:t>Device and experience posture cannot be measured.</w:t>
            </w:r>
          </w:p>
        </w:tc>
        <w:tc>
          <w:tcPr>
            <w:tcW w:type="dxa" w:w="2556"/>
            <w:vAlign w:val="center"/>
          </w:tcPr>
          <w:p>
            <w:r>
              <w:t>Grant least-privilege read access for ZDX inventory and alerts to the reporting service account.</w:t>
            </w:r>
          </w:p>
        </w:tc>
      </w:tr>
      <w:tr>
        <w:tc>
          <w:tcPr>
            <w:tcW w:type="dxa" w:w="2556"/>
            <w:vAlign w:val="center"/>
          </w:tcPr>
          <w:p>
            <w:r>
              <w:t>Third-party / SaaS governance</w:t>
            </w:r>
          </w:p>
        </w:tc>
        <w:tc>
          <w:tcPr>
            <w:tcW w:type="dxa" w:w="2556"/>
            <w:vAlign w:val="center"/>
          </w:tcPr>
          <w:p>
            <w:r>
              <w:t>CASB analytics empty.</w:t>
            </w:r>
          </w:p>
        </w:tc>
        <w:tc>
          <w:tcPr>
            <w:tcW w:type="dxa" w:w="2556"/>
            <w:vAlign w:val="center"/>
          </w:tcPr>
          <w:p>
            <w:r>
              <w:t>Cannot conclude that SaaS usage is absent or governed.</w:t>
            </w:r>
          </w:p>
        </w:tc>
        <w:tc>
          <w:tcPr>
            <w:tcW w:type="dxa" w:w="2556"/>
            <w:vAlign w:val="center"/>
          </w:tcPr>
          <w:p>
            <w:r>
              <w:t>Validate CASB license, data-source onboarding, analytics retention, and role permissions.</w:t>
            </w:r>
          </w:p>
        </w:tc>
      </w:tr>
      <w:tr>
        <w:tc>
          <w:tcPr>
            <w:tcW w:type="dxa" w:w="2556"/>
            <w:vAlign w:val="center"/>
          </w:tcPr>
          <w:p>
            <w:r>
              <w:t>Compliance evidence</w:t>
            </w:r>
          </w:p>
        </w:tc>
        <w:tc>
          <w:tcPr>
            <w:tcW w:type="dxa" w:w="2556"/>
            <w:vAlign w:val="center"/>
          </w:tcPr>
          <w:p>
            <w:r>
              <w:t>Telemetry and control state retrieved from Zscaler.</w:t>
            </w:r>
          </w:p>
        </w:tc>
        <w:tc>
          <w:tcPr>
            <w:tcW w:type="dxa" w:w="2556"/>
            <w:vAlign w:val="center"/>
          </w:tcPr>
          <w:p>
            <w:r>
              <w:t>Useful operational evidence; insufficient alone for full regulatory assurance.</w:t>
            </w:r>
          </w:p>
        </w:tc>
        <w:tc>
          <w:tcPr>
            <w:tcW w:type="dxa" w:w="2556"/>
            <w:vAlign w:val="center"/>
          </w:tcPr>
          <w:p>
            <w:r>
              <w:t>Map evidence to the organization’s applicable control framework and retain periodic exports.</w:t>
            </w:r>
          </w:p>
        </w:tc>
      </w:tr>
    </w:tbl>
    <w:p/>
    <w:p>
      <w:pPr>
        <w:pStyle w:val="Heading1"/>
      </w:pPr>
      <w:r>
        <w:t>Executive risk register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8"/>
            <w:vAlign w:val="center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556"/>
            <w:shd w:fill="1F4E78"/>
            <w:vAlign w:val="center"/>
          </w:tcPr>
          <w:p>
            <w:r>
              <w:rPr>
                <w:b/>
                <w:color w:val="FFFFFF"/>
              </w:rPr>
              <w:t>Risk statement</w:t>
            </w:r>
          </w:p>
        </w:tc>
        <w:tc>
          <w:tcPr>
            <w:tcW w:type="dxa" w:w="2556"/>
            <w:shd w:fill="1F4E78"/>
            <w:vAlign w:val="center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2556"/>
            <w:shd w:fill="1F4E78"/>
            <w:vAlign w:val="center"/>
          </w:tcPr>
          <w:p>
            <w:r>
              <w:rPr>
                <w:b/>
                <w:color w:val="FFFFFF"/>
              </w:rPr>
              <w:t>Action owner / target</w:t>
            </w:r>
          </w:p>
        </w:tc>
      </w:tr>
      <w:tr>
        <w:tc>
          <w:tcPr>
            <w:tcW w:type="dxa" w:w="2556"/>
            <w:vAlign w:val="center"/>
          </w:tcPr>
          <w:p>
            <w:r>
              <w:t>High</w:t>
            </w:r>
          </w:p>
        </w:tc>
        <w:tc>
          <w:tcPr>
            <w:tcW w:type="dxa" w:w="2556"/>
            <w:vAlign w:val="center"/>
          </w:tcPr>
          <w:p>
            <w:r>
              <w:t>High-volume malware and suspicious-destination events may conceal materially risky allowed traffic or recurring exposure.</w:t>
            </w:r>
          </w:p>
        </w:tc>
        <w:tc>
          <w:tcPr>
            <w:tcW w:type="dxa" w:w="2556"/>
            <w:vAlign w:val="center"/>
          </w:tcPr>
          <w:p>
            <w:r>
              <w:t>Potential compromise, service disruption, data-loss, and regulatory reporting exposure.</w:t>
            </w:r>
          </w:p>
        </w:tc>
        <w:tc>
          <w:tcPr>
            <w:tcW w:type="dxa" w:w="2556"/>
            <w:vAlign w:val="center"/>
          </w:tcPr>
          <w:p>
            <w:r>
              <w:t>Security Operations: validate block/allow outcomes and top sources within 10 business days.</w:t>
            </w:r>
          </w:p>
        </w:tc>
      </w:tr>
      <w:tr>
        <w:tc>
          <w:tcPr>
            <w:tcW w:type="dxa" w:w="2556"/>
            <w:vAlign w:val="center"/>
          </w:tcPr>
          <w:p>
            <w:r>
              <w:t>High</w:t>
            </w:r>
          </w:p>
        </w:tc>
        <w:tc>
          <w:tcPr>
            <w:tcW w:type="dxa" w:w="2556"/>
            <w:vAlign w:val="center"/>
          </w:tcPr>
          <w:p>
            <w:r>
              <w:t>Endpoint and active-alert assurance is unavailable because the reporting credential lacks ZDX authorization.</w:t>
            </w:r>
          </w:p>
        </w:tc>
        <w:tc>
          <w:tcPr>
            <w:tcW w:type="dxa" w:w="2556"/>
            <w:vAlign w:val="center"/>
          </w:tcPr>
          <w:p>
            <w:r>
              <w:t>Management cannot evidence device health, user-experience risk, or alert response performance.</w:t>
            </w:r>
          </w:p>
        </w:tc>
        <w:tc>
          <w:tcPr>
            <w:tcW w:type="dxa" w:w="2556"/>
            <w:vAlign w:val="center"/>
          </w:tcPr>
          <w:p>
            <w:r>
              <w:t>ZDX platform owner: grant read-only reporting scope and rerun assessment within 5 business days.</w:t>
            </w:r>
          </w:p>
        </w:tc>
      </w:tr>
      <w:tr>
        <w:tc>
          <w:tcPr>
            <w:tcW w:type="dxa" w:w="2556"/>
            <w:vAlign w:val="center"/>
          </w:tcPr>
          <w:p>
            <w:r>
              <w:t>Medium</w:t>
            </w:r>
          </w:p>
        </w:tc>
        <w:tc>
          <w:tcPr>
            <w:tcW w:type="dxa" w:w="2556"/>
            <w:vAlign w:val="center"/>
          </w:tcPr>
          <w:p>
            <w:r>
              <w:t>On-prem egress and remote-user traffic dominate telemetry.</w:t>
            </w:r>
          </w:p>
        </w:tc>
        <w:tc>
          <w:tcPr>
            <w:tcW w:type="dxa" w:w="2556"/>
            <w:vAlign w:val="center"/>
          </w:tcPr>
          <w:p>
            <w:r>
              <w:t>Concentrated exposure may create operational dependencies and blind spots.</w:t>
            </w:r>
          </w:p>
        </w:tc>
        <w:tc>
          <w:tcPr>
            <w:tcW w:type="dxa" w:w="2556"/>
            <w:vAlign w:val="center"/>
          </w:tcPr>
          <w:p>
            <w:r>
              <w:t>Network + Security: baseline top populations and inspect policy/tunnel routing within 20 business days.</w:t>
            </w:r>
          </w:p>
        </w:tc>
      </w:tr>
      <w:tr>
        <w:tc>
          <w:tcPr>
            <w:tcW w:type="dxa" w:w="2556"/>
            <w:vAlign w:val="center"/>
          </w:tcPr>
          <w:p>
            <w:r>
              <w:t>Medium</w:t>
            </w:r>
          </w:p>
        </w:tc>
        <w:tc>
          <w:tcPr>
            <w:tcW w:type="dxa" w:w="2556"/>
            <w:vAlign w:val="center"/>
          </w:tcPr>
          <w:p>
            <w:r>
              <w:t>CASB usage evidence is unavailable.</w:t>
            </w:r>
          </w:p>
        </w:tc>
        <w:tc>
          <w:tcPr>
            <w:tcW w:type="dxa" w:w="2556"/>
            <w:vAlign w:val="center"/>
          </w:tcPr>
          <w:p>
            <w:r>
              <w:t>Shadow IT and SaaS data-governance assurance cannot be substantiated.</w:t>
            </w:r>
          </w:p>
        </w:tc>
        <w:tc>
          <w:tcPr>
            <w:tcW w:type="dxa" w:w="2556"/>
            <w:vAlign w:val="center"/>
          </w:tcPr>
          <w:p>
            <w:r>
              <w:t>Cloud Security: validate CASB collection and entitlements within 15 business days.</w:t>
            </w:r>
          </w:p>
        </w:tc>
      </w:tr>
      <w:tr>
        <w:tc>
          <w:tcPr>
            <w:tcW w:type="dxa" w:w="2556"/>
            <w:vAlign w:val="center"/>
          </w:tcPr>
          <w:p>
            <w:r>
              <w:t>Medium</w:t>
            </w:r>
          </w:p>
        </w:tc>
        <w:tc>
          <w:tcPr>
            <w:tcW w:type="dxa" w:w="2556"/>
            <w:vAlign w:val="center"/>
          </w:tcPr>
          <w:p>
            <w:r>
              <w:t>Control effectiveness (not merely control enablement) was not evidenced.</w:t>
            </w:r>
          </w:p>
        </w:tc>
        <w:tc>
          <w:tcPr>
            <w:tcW w:type="dxa" w:w="2556"/>
            <w:vAlign w:val="center"/>
          </w:tcPr>
          <w:p>
            <w:r>
              <w:t>Enabled inspection may not translate to complete enforcement or response.</w:t>
            </w:r>
          </w:p>
        </w:tc>
        <w:tc>
          <w:tcPr>
            <w:tcW w:type="dxa" w:w="2556"/>
            <w:vAlign w:val="center"/>
          </w:tcPr>
          <w:p>
            <w:r>
              <w:t>GRC + Security: perform a quarterly control-effectiveness sample and retain evidence.</w:t>
            </w:r>
          </w:p>
        </w:tc>
      </w:tr>
    </w:tbl>
    <w:p/>
    <w:p>
      <w:pPr>
        <w:pStyle w:val="Heading1"/>
      </w:pPr>
      <w:r>
        <w:t>90-day action plan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8"/>
            <w:vAlign w:val="center"/>
          </w:tcPr>
          <w:p>
            <w:r>
              <w:rPr>
                <w:b/>
                <w:color w:val="FFFFFF"/>
              </w:rPr>
              <w:t>Timing</w:t>
            </w:r>
          </w:p>
        </w:tc>
        <w:tc>
          <w:tcPr>
            <w:tcW w:type="dxa" w:w="2556"/>
            <w:shd w:fill="1F4E78"/>
            <w:vAlign w:val="center"/>
          </w:tcPr>
          <w:p>
            <w:r>
              <w:rPr>
                <w:b/>
                <w:color w:val="FFFFFF"/>
              </w:rPr>
              <w:t>Outcome</w:t>
            </w:r>
          </w:p>
        </w:tc>
        <w:tc>
          <w:tcPr>
            <w:tcW w:type="dxa" w:w="2556"/>
            <w:shd w:fill="1F4E78"/>
            <w:vAlign w:val="center"/>
          </w:tcPr>
          <w:p>
            <w:r>
              <w:rPr>
                <w:b/>
                <w:color w:val="FFFFFF"/>
              </w:rPr>
              <w:t>Key activities</w:t>
            </w:r>
          </w:p>
        </w:tc>
        <w:tc>
          <w:tcPr>
            <w:tcW w:type="dxa" w:w="2556"/>
            <w:shd w:fill="1F4E78"/>
            <w:vAlign w:val="center"/>
          </w:tcPr>
          <w:p>
            <w:r>
              <w:rPr>
                <w:b/>
                <w:color w:val="FFFFFF"/>
              </w:rPr>
              <w:t>Success measure</w:t>
            </w:r>
          </w:p>
        </w:tc>
      </w:tr>
      <w:tr>
        <w:tc>
          <w:tcPr>
            <w:tcW w:type="dxa" w:w="2556"/>
            <w:vAlign w:val="center"/>
          </w:tcPr>
          <w:p>
            <w:r>
              <w:t>0–15 days</w:t>
            </w:r>
          </w:p>
        </w:tc>
        <w:tc>
          <w:tcPr>
            <w:tcW w:type="dxa" w:w="2556"/>
            <w:vAlign w:val="center"/>
          </w:tcPr>
          <w:p>
            <w:r>
              <w:t>Restore evidence completeness</w:t>
            </w:r>
          </w:p>
        </w:tc>
        <w:tc>
          <w:tcPr>
            <w:tcW w:type="dxa" w:w="2556"/>
            <w:vAlign w:val="center"/>
          </w:tcPr>
          <w:p>
            <w:r>
              <w:t>Authorize read-only ZDX reporting; validate CASB data availability; confirm incident analytics definitions.</w:t>
            </w:r>
          </w:p>
        </w:tc>
        <w:tc>
          <w:tcPr>
            <w:tcW w:type="dxa" w:w="2556"/>
            <w:vAlign w:val="center"/>
          </w:tcPr>
          <w:p>
            <w:r>
              <w:t>ZDX inventory/alerts and CASB reporting are available; data dictionary approved.</w:t>
            </w:r>
          </w:p>
        </w:tc>
      </w:tr>
      <w:tr>
        <w:tc>
          <w:tcPr>
            <w:tcW w:type="dxa" w:w="2556"/>
            <w:vAlign w:val="center"/>
          </w:tcPr>
          <w:p>
            <w:r>
              <w:t>16–45 days</w:t>
            </w:r>
          </w:p>
        </w:tc>
        <w:tc>
          <w:tcPr>
            <w:tcW w:type="dxa" w:w="2556"/>
            <w:vAlign w:val="center"/>
          </w:tcPr>
          <w:p>
            <w:r>
              <w:t>Reduce concentrated exposure</w:t>
            </w:r>
          </w:p>
        </w:tc>
        <w:tc>
          <w:tcPr>
            <w:tcW w:type="dxa" w:w="2556"/>
            <w:vAlign w:val="center"/>
          </w:tcPr>
          <w:p>
            <w:r>
              <w:t>Analyze top two egress populations; identify top destinations, policy actions, and repeat sources; tune escalation rules.</w:t>
            </w:r>
          </w:p>
        </w:tc>
        <w:tc>
          <w:tcPr>
            <w:tcW w:type="dxa" w:w="2556"/>
            <w:vAlign w:val="center"/>
          </w:tcPr>
          <w:p>
            <w:r>
              <w:t>Documented remediation plan for the dominant 94.3% of events; tracked exceptions.</w:t>
            </w:r>
          </w:p>
        </w:tc>
      </w:tr>
      <w:tr>
        <w:tc>
          <w:tcPr>
            <w:tcW w:type="dxa" w:w="2556"/>
            <w:vAlign w:val="center"/>
          </w:tcPr>
          <w:p>
            <w:r>
              <w:t>46–90 days</w:t>
            </w:r>
          </w:p>
        </w:tc>
        <w:tc>
          <w:tcPr>
            <w:tcW w:type="dxa" w:w="2556"/>
            <w:vAlign w:val="center"/>
          </w:tcPr>
          <w:p>
            <w:r>
              <w:t>Institutionalize assurance</w:t>
            </w:r>
          </w:p>
        </w:tc>
        <w:tc>
          <w:tcPr>
            <w:tcW w:type="dxa" w:w="2556"/>
            <w:vAlign w:val="center"/>
          </w:tcPr>
          <w:p>
            <w:r>
              <w:t>Establish monthly KRI pack, quarterly control attestations, and a test of malware-policy and response workflow effectiveness.</w:t>
            </w:r>
          </w:p>
        </w:tc>
        <w:tc>
          <w:tcPr>
            <w:tcW w:type="dxa" w:w="2556"/>
            <w:vAlign w:val="center"/>
          </w:tcPr>
          <w:p>
            <w:r>
              <w:t>Board-ready dashboard and repeatable evidence package produced each quarter.</w:t>
            </w:r>
          </w:p>
        </w:tc>
      </w:tr>
    </w:tbl>
    <w:p/>
    <w:p>
      <w:pPr>
        <w:pStyle w:val="Heading1"/>
      </w:pPr>
      <w:r>
        <w:t>Limitations and evidence notes</w:t>
      </w:r>
    </w:p>
    <w:p>
      <w:pPr>
        <w:pStyle w:val="ListBullet"/>
      </w:pPr>
      <w:r>
        <w:t>Data was queried directly from configured Zscaler APIs on 13 October 2026.</w:t>
      </w:r>
    </w:p>
    <w:p>
      <w:pPr>
        <w:pStyle w:val="ListBullet"/>
      </w:pPr>
      <w:r>
        <w:t>Incident analytics cover a 14-day historical interval ending two days before retrieval, as required by the available API.</w:t>
      </w:r>
    </w:p>
    <w:p>
      <w:pPr>
        <w:pStyle w:val="ListBullet"/>
      </w:pPr>
      <w:r>
        <w:t>Event counts were returned without verdict, user, destination, policy-action, or remediation details; they must not be interpreted as confirmed incidents or breaches.</w:t>
      </w:r>
    </w:p>
    <w:p>
      <w:pPr>
        <w:pStyle w:val="ListBullet"/>
      </w:pPr>
      <w:r>
        <w:t>ZDX device and alert endpoints returned HTTP 403 (not authorized), limiting endpoint-related conclusions.</w:t>
      </w:r>
    </w:p>
    <w:p>
      <w:pPr>
        <w:pStyle w:val="ListBullet"/>
      </w:pPr>
      <w:r>
        <w:t>CASB application analytics returned an empty result. This may reflect no data, scope configuration, retention, or authorization—not necessarily no use.</w:t>
      </w:r>
    </w:p>
    <w:p>
      <w:pPr>
        <w:pStyle w:val="ListBullet"/>
      </w:pPr>
      <w:r>
        <w:t>This briefing is operational GRC decision support and is not a legal, regulatory, or audit opinion.</w:t>
      </w:r>
    </w:p>
    <w:p/>
    <w:p>
      <w:pPr>
        <w:jc w:val="center"/>
      </w:pPr>
      <w:r>
        <w:rPr>
          <w:i/>
        </w:rPr>
        <w:t>Confidential — executive use | Generated from available Zscaler telemetry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