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rFonts w:ascii="Aptos Display" w:hAnsi="Aptos Display"/>
          <w:b/>
          <w:color w:val="17365D"/>
          <w:sz w:val="68"/>
        </w:rPr>
        <w:t>GOVERNANCE, RISK</w:t>
        <w:br/>
        <w:t>&amp; COMPLIANCE</w:t>
      </w:r>
    </w:p>
    <w:p>
      <w:r>
        <w:rPr>
          <w:b/>
          <w:color w:val="2F75B5"/>
          <w:sz w:val="40"/>
        </w:rPr>
        <w:t>Zscaler MCP Server — Live Tenant Assessment</w:t>
      </w:r>
    </w:p>
    <w:p>
      <w:pPr>
        <w:spacing w:before="500"/>
      </w:pPr>
      <w:r>
        <w:rPr>
          <w:b/>
          <w:sz w:val="28"/>
        </w:rPr>
        <w:t>Executive Report</w:t>
      </w:r>
    </w:p>
    <w:p>
      <w:pPr>
        <w:spacing w:before="480"/>
      </w:pPr>
      <w:r>
        <w:rPr>
          <w:color w:val="666666"/>
          <w:sz w:val="21"/>
        </w:rPr>
        <w:t>Assessment date: 13 October 2026</w:t>
        <w:br/>
        <w:t>Assessment method: Read-only calls through the configured Zscaler MCP server</w:t>
        <w:br/>
        <w:t>Scope: ZIA, ZINS, ZCC, ZDX, and MCP deployment controls</w:t>
      </w:r>
    </w:p>
    <w:p>
      <w:pPr>
        <w:spacing w:before="1300"/>
      </w:pPr>
      <w:r>
        <w:rPr>
          <w:b/>
          <w:color w:val="666666"/>
          <w:sz w:val="18"/>
        </w:rPr>
        <w:t>OVERALL RISK POSTURE</w:t>
      </w:r>
    </w:p>
    <w:p>
      <w:r>
        <w:rPr>
          <w:b/>
          <w:color w:val="F4B183"/>
          <w:sz w:val="50"/>
        </w:rPr>
        <w:t>MODERATE / ELEVATED</w:t>
      </w:r>
    </w:p>
    <w:p>
      <w:pPr>
        <w:pStyle w:val="Callout"/>
        <w:spacing w:after="100"/>
      </w:pPr>
      <w:r>
        <w:t>ZIA is active and several core policy layers are present. The principal executive risks are incomplete visibility into ZDX and Web DLP, high observed cyber-event volume, permissive or inconsistent enforcement settings, and unsafe local credential storage.</w:t>
      </w:r>
    </w:p>
    <w:p>
      <w:r>
        <w:br w:type="page"/>
      </w:r>
    </w:p>
    <w:p>
      <w:pPr>
        <w:pStyle w:val="Heading1"/>
      </w:pPr>
      <w:r>
        <w:t>1. Executive Summary</w:t>
      </w:r>
    </w:p>
    <w:p>
      <w:pPr>
        <w:spacing w:after="100"/>
      </w:pPr>
      <w:r>
        <w:t>A live, read-only assessment was performed through the configured Zscaler MCP server. The assessment did not invoke any write operation, change policy, or modify tenant state. Results are based on the tenant responses available to the configured API identity at the time of assessment.</w:t>
      </w:r>
    </w:p>
    <w:tbl>
      <w:tblPr>
        <w:tblW w:type="auto" w:w="0"/>
        <w:jc w:val="center"/>
        <w:tblLayout w:type="fixed"/>
        <w:tblLook w:firstColumn="1" w:firstRow="1" w:lastColumn="0" w:lastRow="0" w:noHBand="0" w:noVBand="1" w:val="04A0"/>
      </w:tblPr>
      <w:tblGrid>
        <w:gridCol w:w="5040"/>
        <w:gridCol w:w="5040"/>
      </w:tblGrid>
      <w:tr>
        <w:tc>
          <w:tcPr>
            <w:tcW w:type="dxa" w:w="3384"/>
            <w:vAlign w:val="center"/>
            <w:shd w:fill="17365D"/>
          </w:tcPr>
          <w:p>
            <w:pPr>
              <w:spacing w:after="0"/>
            </w:pPr>
            <w:r/>
            <w:r>
              <w:rPr>
                <w:rFonts w:ascii="Aptos" w:hAnsi="Aptos"/>
                <w:b/>
                <w:color w:val="FFFFFF"/>
                <w:sz w:val="15"/>
              </w:rPr>
              <w:t>Live observation</w:t>
            </w:r>
          </w:p>
        </w:tc>
        <w:tc>
          <w:tcPr>
            <w:tcW w:type="dxa" w:w="6552"/>
            <w:vAlign w:val="center"/>
            <w:shd w:fill="17365D"/>
          </w:tcPr>
          <w:p>
            <w:pPr>
              <w:spacing w:after="0"/>
            </w:pPr>
            <w:r/>
            <w:r>
              <w:rPr>
                <w:rFonts w:ascii="Aptos" w:hAnsi="Aptos"/>
                <w:b/>
                <w:color w:val="FFFFFF"/>
                <w:sz w:val="15"/>
              </w:rPr>
              <w:t>Executive interpretation</w:t>
            </w:r>
          </w:p>
        </w:tc>
      </w:tr>
      <w:tr>
        <w:tc>
          <w:tcPr>
            <w:tcW w:type="dxa" w:w="3384"/>
            <w:vAlign w:val="center"/>
            <w:shd w:fill="F4F7FA"/>
          </w:tcPr>
          <w:p>
            <w:pPr>
              <w:spacing w:after="0"/>
            </w:pPr>
            <w:r/>
            <w:r>
              <w:rPr>
                <w:rFonts w:ascii="Aptos" w:hAnsi="Aptos"/>
                <w:b w:val="0"/>
                <w:color w:val="1F2937"/>
                <w:sz w:val="15"/>
              </w:rPr>
              <w:t>ZIA status: ACTIVE</w:t>
            </w:r>
          </w:p>
        </w:tc>
        <w:tc>
          <w:tcPr>
            <w:tcW w:type="dxa" w:w="6552"/>
            <w:vAlign w:val="center"/>
            <w:shd w:fill="F4F7FA"/>
          </w:tcPr>
          <w:p>
            <w:pPr>
              <w:spacing w:after="0"/>
            </w:pPr>
            <w:r/>
            <w:r>
              <w:rPr>
                <w:rFonts w:ascii="Aptos" w:hAnsi="Aptos"/>
                <w:b w:val="0"/>
                <w:color w:val="1F2937"/>
                <w:sz w:val="15"/>
              </w:rPr>
              <w:t>The ZIA service is operational for the assessed tenant.</w:t>
            </w:r>
          </w:p>
        </w:tc>
      </w:tr>
      <w:tr>
        <w:tc>
          <w:tcPr>
            <w:tcW w:type="dxa" w:w="3384"/>
            <w:vAlign w:val="center"/>
            <w:shd w:fill="FFFFFF"/>
          </w:tcPr>
          <w:p>
            <w:pPr>
              <w:spacing w:after="0"/>
            </w:pPr>
            <w:r/>
            <w:r>
              <w:rPr>
                <w:rFonts w:ascii="Aptos" w:hAnsi="Aptos"/>
                <w:b w:val="0"/>
                <w:color w:val="1F2937"/>
                <w:sz w:val="15"/>
              </w:rPr>
              <w:t>16 SSL inspection rules: 15 enabled, 1 disabled</w:t>
            </w:r>
          </w:p>
        </w:tc>
        <w:tc>
          <w:tcPr>
            <w:tcW w:type="dxa" w:w="6552"/>
            <w:vAlign w:val="center"/>
            <w:shd w:fill="FFFFFF"/>
          </w:tcPr>
          <w:p>
            <w:pPr>
              <w:spacing w:after="0"/>
            </w:pPr>
            <w:r/>
            <w:r>
              <w:rPr>
                <w:rFonts w:ascii="Aptos" w:hAnsi="Aptos"/>
                <w:b w:val="0"/>
                <w:color w:val="1F2937"/>
                <w:sz w:val="15"/>
              </w:rPr>
              <w:t>SSL inspection is materially deployed, but one disabled rule and mixed decrypt / do-not-decrypt actions require policy-owner review.</w:t>
            </w:r>
          </w:p>
        </w:tc>
      </w:tr>
      <w:tr>
        <w:tc>
          <w:tcPr>
            <w:tcW w:type="dxa" w:w="3384"/>
            <w:vAlign w:val="center"/>
            <w:shd w:fill="F4F7FA"/>
          </w:tcPr>
          <w:p>
            <w:pPr>
              <w:spacing w:after="0"/>
            </w:pPr>
            <w:r/>
            <w:r>
              <w:rPr>
                <w:rFonts w:ascii="Aptos" w:hAnsi="Aptos"/>
                <w:b w:val="0"/>
                <w:color w:val="1F2937"/>
                <w:sz w:val="15"/>
              </w:rPr>
              <w:t>69 URL-filtering rules: 65 enabled, 4 disabled</w:t>
            </w:r>
          </w:p>
        </w:tc>
        <w:tc>
          <w:tcPr>
            <w:tcW w:type="dxa" w:w="6552"/>
            <w:vAlign w:val="center"/>
            <w:shd w:fill="F4F7FA"/>
          </w:tcPr>
          <w:p>
            <w:pPr>
              <w:spacing w:after="0"/>
            </w:pPr>
            <w:r/>
            <w:r>
              <w:rPr>
                <w:rFonts w:ascii="Aptos" w:hAnsi="Aptos"/>
                <w:b w:val="0"/>
                <w:color w:val="1F2937"/>
                <w:sz w:val="15"/>
              </w:rPr>
              <w:t>Broad policy coverage exists; 64 rules allow traffic, 4 block, and 1 cautions, requiring validation against risk appetite.</w:t>
            </w:r>
          </w:p>
        </w:tc>
      </w:tr>
      <w:tr>
        <w:tc>
          <w:tcPr>
            <w:tcW w:type="dxa" w:w="3384"/>
            <w:vAlign w:val="center"/>
            <w:shd w:fill="FFFFFF"/>
          </w:tcPr>
          <w:p>
            <w:pPr>
              <w:spacing w:after="0"/>
            </w:pPr>
            <w:r/>
            <w:r>
              <w:rPr>
                <w:rFonts w:ascii="Aptos" w:hAnsi="Aptos"/>
                <w:b w:val="0"/>
                <w:color w:val="1F2937"/>
                <w:sz w:val="15"/>
              </w:rPr>
              <w:t>7 cloud-firewall rules: 6 enabled, 1 disabled</w:t>
            </w:r>
          </w:p>
        </w:tc>
        <w:tc>
          <w:tcPr>
            <w:tcW w:type="dxa" w:w="6552"/>
            <w:vAlign w:val="center"/>
            <w:shd w:fill="FFFFFF"/>
          </w:tcPr>
          <w:p>
            <w:pPr>
              <w:spacing w:after="0"/>
            </w:pPr>
            <w:r/>
            <w:r>
              <w:rPr>
                <w:rFonts w:ascii="Aptos" w:hAnsi="Aptos"/>
                <w:b w:val="0"/>
                <w:color w:val="1F2937"/>
                <w:sz w:val="15"/>
              </w:rPr>
              <w:t>Network control coverage exists, but only 2 rules block traffic while 5 allow it.</w:t>
            </w:r>
          </w:p>
        </w:tc>
      </w:tr>
      <w:tr>
        <w:tc>
          <w:tcPr>
            <w:tcW w:type="dxa" w:w="3384"/>
            <w:vAlign w:val="center"/>
            <w:shd w:fill="F4F7FA"/>
          </w:tcPr>
          <w:p>
            <w:pPr>
              <w:spacing w:after="0"/>
            </w:pPr>
            <w:r/>
            <w:r>
              <w:rPr>
                <w:rFonts w:ascii="Aptos" w:hAnsi="Aptos"/>
                <w:b w:val="0"/>
                <w:color w:val="1F2937"/>
                <w:sz w:val="15"/>
              </w:rPr>
              <w:t>13 cyber-incident groupings / 3,125,239 aggregated events in the selected 30-day window</w:t>
            </w:r>
          </w:p>
        </w:tc>
        <w:tc>
          <w:tcPr>
            <w:tcW w:type="dxa" w:w="6552"/>
            <w:vAlign w:val="center"/>
            <w:shd w:fill="F4F7FA"/>
          </w:tcPr>
          <w:p>
            <w:pPr>
              <w:spacing w:after="0"/>
            </w:pPr>
            <w:r/>
            <w:r>
              <w:rPr>
                <w:rFonts w:ascii="Aptos" w:hAnsi="Aptos"/>
                <w:b w:val="0"/>
                <w:color w:val="1F2937"/>
                <w:sz w:val="15"/>
              </w:rPr>
              <w:t>This is a material detection and governance signal. Trend, severity, ownership, and closure evidence should be reviewed.</w:t>
            </w:r>
          </w:p>
        </w:tc>
      </w:tr>
      <w:tr>
        <w:tc>
          <w:tcPr>
            <w:tcW w:type="dxa" w:w="3384"/>
            <w:vAlign w:val="center"/>
            <w:shd w:fill="FFFFFF"/>
          </w:tcPr>
          <w:p>
            <w:pPr>
              <w:spacing w:after="0"/>
            </w:pPr>
            <w:r/>
            <w:r>
              <w:rPr>
                <w:rFonts w:ascii="Aptos" w:hAnsi="Aptos"/>
                <w:b w:val="0"/>
                <w:color w:val="1F2937"/>
                <w:sz w:val="15"/>
              </w:rPr>
              <w:t>ZDX ongoing alerts and applications: unavailable with HTTP 403</w:t>
            </w:r>
          </w:p>
        </w:tc>
        <w:tc>
          <w:tcPr>
            <w:tcW w:type="dxa" w:w="6552"/>
            <w:vAlign w:val="center"/>
            <w:shd w:fill="FFFFFF"/>
          </w:tcPr>
          <w:p>
            <w:pPr>
              <w:spacing w:after="0"/>
            </w:pPr>
            <w:r/>
            <w:r>
              <w:rPr>
                <w:rFonts w:ascii="Aptos" w:hAnsi="Aptos"/>
                <w:b w:val="0"/>
                <w:color w:val="1F2937"/>
                <w:sz w:val="15"/>
              </w:rPr>
              <w:t>The assessment cannot independently evidence digital-experience monitoring or alert posture.</w:t>
            </w:r>
          </w:p>
        </w:tc>
      </w:tr>
      <w:tr>
        <w:tc>
          <w:tcPr>
            <w:tcW w:type="dxa" w:w="3384"/>
            <w:vAlign w:val="center"/>
            <w:shd w:fill="F4F7FA"/>
          </w:tcPr>
          <w:p>
            <w:pPr>
              <w:spacing w:after="0"/>
            </w:pPr>
            <w:r/>
            <w:r>
              <w:rPr>
                <w:rFonts w:ascii="Aptos" w:hAnsi="Aptos"/>
                <w:b w:val="0"/>
                <w:color w:val="1F2937"/>
                <w:sz w:val="15"/>
              </w:rPr>
              <w:t>Web DLP rules: unavailable due RBA_LIMITED / Inline DLP scope</w:t>
            </w:r>
          </w:p>
        </w:tc>
        <w:tc>
          <w:tcPr>
            <w:tcW w:type="dxa" w:w="6552"/>
            <w:vAlign w:val="center"/>
            <w:shd w:fill="F4F7FA"/>
          </w:tcPr>
          <w:p>
            <w:pPr>
              <w:spacing w:after="0"/>
            </w:pPr>
            <w:r/>
            <w:r>
              <w:rPr>
                <w:rFonts w:ascii="Aptos" w:hAnsi="Aptos"/>
                <w:b w:val="0"/>
                <w:color w:val="1F2937"/>
                <w:sz w:val="15"/>
              </w:rPr>
              <w:t>DLP posture cannot be validated through the current identity; this is a direct compliance evidence gap.</w:t>
            </w:r>
          </w:p>
        </w:tc>
      </w:tr>
      <w:tr>
        <w:tc>
          <w:tcPr>
            <w:tcW w:type="dxa" w:w="3384"/>
            <w:vAlign w:val="center"/>
            <w:shd w:fill="FFFFFF"/>
          </w:tcPr>
          <w:p>
            <w:pPr>
              <w:spacing w:after="0"/>
            </w:pPr>
            <w:r/>
            <w:r>
              <w:rPr>
                <w:rFonts w:ascii="Aptos" w:hAnsi="Aptos"/>
                <w:b w:val="0"/>
                <w:color w:val="1F2937"/>
                <w:sz w:val="15"/>
              </w:rPr>
              <w:t>50 ZCC device records; 0 trusted networks returned</w:t>
            </w:r>
          </w:p>
        </w:tc>
        <w:tc>
          <w:tcPr>
            <w:tcW w:type="dxa" w:w="6552"/>
            <w:vAlign w:val="center"/>
            <w:shd w:fill="FFFFFF"/>
          </w:tcPr>
          <w:p>
            <w:pPr>
              <w:spacing w:after="0"/>
            </w:pPr>
            <w:r/>
            <w:r>
              <w:rPr>
                <w:rFonts w:ascii="Aptos" w:hAnsi="Aptos"/>
                <w:b w:val="0"/>
                <w:color w:val="1F2937"/>
                <w:sz w:val="15"/>
              </w:rPr>
              <w:t>Endpoint inventory is visible, but trusted-network posture is empty or unavailable and needs validation.</w:t>
            </w:r>
          </w:p>
        </w:tc>
      </w:tr>
    </w:tbl>
    <w:p>
      <w:pPr>
        <w:spacing w:after="20"/>
      </w:pPr>
    </w:p>
    <w:p>
      <w:pPr>
        <w:spacing w:after="100"/>
      </w:pPr>
      <w:r>
        <w:t>Executive conclusion: continue controlled read-only use, but require remediation and evidence collection before approving unrestricted write-enabled administration or treating this assessment as compliance evidence.</w:t>
      </w:r>
    </w:p>
    <w:p>
      <w:pPr>
        <w:pStyle w:val="Heading1"/>
      </w:pPr>
      <w:r>
        <w:t>2. Executive Risk Register</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605"/>
            <w:vAlign w:val="center"/>
            <w:shd w:fill="17365D"/>
          </w:tcPr>
          <w:p>
            <w:pPr>
              <w:spacing w:after="0"/>
            </w:pPr>
            <w:r/>
            <w:r>
              <w:rPr>
                <w:rFonts w:ascii="Aptos" w:hAnsi="Aptos"/>
                <w:b/>
                <w:color w:val="FFFFFF"/>
                <w:sz w:val="14"/>
              </w:rPr>
              <w:t>ID</w:t>
            </w:r>
          </w:p>
        </w:tc>
        <w:tc>
          <w:tcPr>
            <w:tcW w:type="dxa" w:w="2232"/>
            <w:vAlign w:val="center"/>
            <w:shd w:fill="17365D"/>
          </w:tcPr>
          <w:p>
            <w:pPr>
              <w:spacing w:after="0"/>
            </w:pPr>
            <w:r/>
            <w:r>
              <w:rPr>
                <w:rFonts w:ascii="Aptos" w:hAnsi="Aptos"/>
                <w:b/>
                <w:color w:val="FFFFFF"/>
                <w:sz w:val="14"/>
              </w:rPr>
              <w:t>Risk</w:t>
            </w:r>
          </w:p>
        </w:tc>
        <w:tc>
          <w:tcPr>
            <w:tcW w:type="dxa" w:w="893"/>
            <w:vAlign w:val="center"/>
            <w:shd w:fill="17365D"/>
          </w:tcPr>
          <w:p>
            <w:pPr>
              <w:spacing w:after="0"/>
            </w:pPr>
            <w:r/>
            <w:r>
              <w:rPr>
                <w:rFonts w:ascii="Aptos" w:hAnsi="Aptos"/>
                <w:b/>
                <w:color w:val="FFFFFF"/>
                <w:sz w:val="14"/>
              </w:rPr>
              <w:t>Severity</w:t>
            </w:r>
          </w:p>
        </w:tc>
        <w:tc>
          <w:tcPr>
            <w:tcW w:type="dxa" w:w="3240"/>
            <w:vAlign w:val="center"/>
            <w:shd w:fill="17365D"/>
          </w:tcPr>
          <w:p>
            <w:pPr>
              <w:spacing w:after="0"/>
            </w:pPr>
            <w:r/>
            <w:r>
              <w:rPr>
                <w:rFonts w:ascii="Aptos" w:hAnsi="Aptos"/>
                <w:b/>
                <w:color w:val="FFFFFF"/>
                <w:sz w:val="14"/>
              </w:rPr>
              <w:t>Why it matters</w:t>
            </w:r>
          </w:p>
        </w:tc>
        <w:tc>
          <w:tcPr>
            <w:tcW w:type="dxa" w:w="2966"/>
            <w:vAlign w:val="center"/>
            <w:shd w:fill="17365D"/>
          </w:tcPr>
          <w:p>
            <w:pPr>
              <w:spacing w:after="0"/>
            </w:pPr>
            <w:r/>
            <w:r>
              <w:rPr>
                <w:rFonts w:ascii="Aptos" w:hAnsi="Aptos"/>
                <w:b/>
                <w:color w:val="FFFFFF"/>
                <w:sz w:val="14"/>
              </w:rPr>
              <w:t>Recommended executive action</w:t>
            </w:r>
          </w:p>
        </w:tc>
      </w:tr>
      <w:tr>
        <w:tc>
          <w:tcPr>
            <w:tcW w:type="dxa" w:w="605"/>
            <w:vAlign w:val="center"/>
            <w:shd w:fill="F4F7FA"/>
          </w:tcPr>
          <w:p>
            <w:pPr>
              <w:spacing w:after="0"/>
            </w:pPr>
            <w:r/>
            <w:r>
              <w:rPr>
                <w:rFonts w:ascii="Aptos" w:hAnsi="Aptos"/>
                <w:b w:val="0"/>
                <w:color w:val="1F2937"/>
                <w:sz w:val="14"/>
              </w:rPr>
              <w:t>L-01</w:t>
            </w:r>
          </w:p>
        </w:tc>
        <w:tc>
          <w:tcPr>
            <w:tcW w:type="dxa" w:w="2232"/>
            <w:vAlign w:val="center"/>
            <w:shd w:fill="F4F7FA"/>
          </w:tcPr>
          <w:p>
            <w:pPr>
              <w:spacing w:after="0"/>
            </w:pPr>
            <w:r/>
            <w:r>
              <w:rPr>
                <w:rFonts w:ascii="Aptos" w:hAnsi="Aptos"/>
                <w:b w:val="0"/>
                <w:color w:val="1F2937"/>
                <w:sz w:val="14"/>
              </w:rPr>
              <w:t>Cyber-event volume requires investigation</w:t>
            </w:r>
          </w:p>
        </w:tc>
        <w:tc>
          <w:tcPr>
            <w:tcW w:type="dxa" w:w="893"/>
            <w:vAlign w:val="center"/>
            <w:shd w:fill="F4F7FA"/>
          </w:tcPr>
          <w:p>
            <w:pPr>
              <w:spacing w:after="0"/>
            </w:pPr>
            <w:r/>
            <w:r>
              <w:rPr>
                <w:rFonts w:ascii="Aptos" w:hAnsi="Aptos"/>
                <w:b w:val="0"/>
                <w:color w:val="1F2937"/>
                <w:sz w:val="14"/>
              </w:rPr>
              <w:t>HIGH</w:t>
            </w:r>
          </w:p>
        </w:tc>
        <w:tc>
          <w:tcPr>
            <w:tcW w:type="dxa" w:w="3240"/>
            <w:vAlign w:val="center"/>
            <w:shd w:fill="F4F7FA"/>
          </w:tcPr>
          <w:p>
            <w:pPr>
              <w:spacing w:after="0"/>
            </w:pPr>
            <w:r/>
            <w:r>
              <w:rPr>
                <w:rFonts w:ascii="Aptos" w:hAnsi="Aptos"/>
                <w:b w:val="0"/>
                <w:color w:val="1F2937"/>
                <w:sz w:val="14"/>
              </w:rPr>
              <w:t>3.1M aggregated events across 13 groupings in 30 days may indicate significant threat activity, noisy detections, or both.</w:t>
            </w:r>
          </w:p>
        </w:tc>
        <w:tc>
          <w:tcPr>
            <w:tcW w:type="dxa" w:w="2966"/>
            <w:vAlign w:val="center"/>
            <w:shd w:fill="F4F7FA"/>
          </w:tcPr>
          <w:p>
            <w:pPr>
              <w:spacing w:after="0"/>
            </w:pPr>
            <w:r/>
            <w:r>
              <w:rPr>
                <w:rFonts w:ascii="Aptos" w:hAnsi="Aptos"/>
                <w:b w:val="0"/>
                <w:color w:val="1F2937"/>
                <w:sz w:val="14"/>
              </w:rPr>
              <w:t>Require security operations to provide severity, top categories, aging, owner, and closure metrics.</w:t>
            </w:r>
          </w:p>
        </w:tc>
      </w:tr>
      <w:tr>
        <w:tc>
          <w:tcPr>
            <w:tcW w:type="dxa" w:w="605"/>
            <w:vAlign w:val="center"/>
            <w:shd w:fill="FFFFFF"/>
          </w:tcPr>
          <w:p>
            <w:pPr>
              <w:spacing w:after="0"/>
            </w:pPr>
            <w:r/>
            <w:r>
              <w:rPr>
                <w:rFonts w:ascii="Aptos" w:hAnsi="Aptos"/>
                <w:b w:val="0"/>
                <w:color w:val="1F2937"/>
                <w:sz w:val="14"/>
              </w:rPr>
              <w:t>L-02</w:t>
            </w:r>
          </w:p>
        </w:tc>
        <w:tc>
          <w:tcPr>
            <w:tcW w:type="dxa" w:w="2232"/>
            <w:vAlign w:val="center"/>
            <w:shd w:fill="FFFFFF"/>
          </w:tcPr>
          <w:p>
            <w:pPr>
              <w:spacing w:after="0"/>
            </w:pPr>
            <w:r/>
            <w:r>
              <w:rPr>
                <w:rFonts w:ascii="Aptos" w:hAnsi="Aptos"/>
                <w:b w:val="0"/>
                <w:color w:val="1F2937"/>
                <w:sz w:val="14"/>
              </w:rPr>
              <w:t>ZDX monitoring is not authorized</w:t>
            </w:r>
          </w:p>
        </w:tc>
        <w:tc>
          <w:tcPr>
            <w:tcW w:type="dxa" w:w="893"/>
            <w:vAlign w:val="center"/>
            <w:shd w:fill="FFFFFF"/>
          </w:tcPr>
          <w:p>
            <w:pPr>
              <w:spacing w:after="0"/>
            </w:pPr>
            <w:r/>
            <w:r>
              <w:rPr>
                <w:rFonts w:ascii="Aptos" w:hAnsi="Aptos"/>
                <w:b w:val="0"/>
                <w:color w:val="1F2937"/>
                <w:sz w:val="14"/>
              </w:rPr>
              <w:t>HIGH</w:t>
            </w:r>
          </w:p>
        </w:tc>
        <w:tc>
          <w:tcPr>
            <w:tcW w:type="dxa" w:w="3240"/>
            <w:vAlign w:val="center"/>
            <w:shd w:fill="FFFFFF"/>
          </w:tcPr>
          <w:p>
            <w:pPr>
              <w:spacing w:after="0"/>
            </w:pPr>
            <w:r/>
            <w:r>
              <w:rPr>
                <w:rFonts w:ascii="Aptos" w:hAnsi="Aptos"/>
                <w:b w:val="0"/>
                <w:color w:val="1F2937"/>
                <w:sz w:val="14"/>
              </w:rPr>
              <w:t>Ongoing alerts and application posture could not be assessed because the API identity received HTTP 403.</w:t>
            </w:r>
          </w:p>
        </w:tc>
        <w:tc>
          <w:tcPr>
            <w:tcW w:type="dxa" w:w="2966"/>
            <w:vAlign w:val="center"/>
            <w:shd w:fill="FFFFFF"/>
          </w:tcPr>
          <w:p>
            <w:pPr>
              <w:spacing w:after="0"/>
            </w:pPr>
            <w:r/>
            <w:r>
              <w:rPr>
                <w:rFonts w:ascii="Aptos" w:hAnsi="Aptos"/>
                <w:b w:val="0"/>
                <w:color w:val="1F2937"/>
                <w:sz w:val="14"/>
              </w:rPr>
              <w:t>Grant least-privilege read access or document a compensating monitoring source.</w:t>
            </w:r>
          </w:p>
        </w:tc>
      </w:tr>
      <w:tr>
        <w:tc>
          <w:tcPr>
            <w:tcW w:type="dxa" w:w="605"/>
            <w:vAlign w:val="center"/>
            <w:shd w:fill="F4F7FA"/>
          </w:tcPr>
          <w:p>
            <w:pPr>
              <w:spacing w:after="0"/>
            </w:pPr>
            <w:r/>
            <w:r>
              <w:rPr>
                <w:rFonts w:ascii="Aptos" w:hAnsi="Aptos"/>
                <w:b w:val="0"/>
                <w:color w:val="1F2937"/>
                <w:sz w:val="14"/>
              </w:rPr>
              <w:t>L-03</w:t>
            </w:r>
          </w:p>
        </w:tc>
        <w:tc>
          <w:tcPr>
            <w:tcW w:type="dxa" w:w="2232"/>
            <w:vAlign w:val="center"/>
            <w:shd w:fill="F4F7FA"/>
          </w:tcPr>
          <w:p>
            <w:pPr>
              <w:spacing w:after="0"/>
            </w:pPr>
            <w:r/>
            <w:r>
              <w:rPr>
                <w:rFonts w:ascii="Aptos" w:hAnsi="Aptos"/>
                <w:b w:val="0"/>
                <w:color w:val="1F2937"/>
                <w:sz w:val="14"/>
              </w:rPr>
              <w:t>Web DLP posture is not assessable</w:t>
            </w:r>
          </w:p>
        </w:tc>
        <w:tc>
          <w:tcPr>
            <w:tcW w:type="dxa" w:w="893"/>
            <w:vAlign w:val="center"/>
            <w:shd w:fill="F4F7FA"/>
          </w:tcPr>
          <w:p>
            <w:pPr>
              <w:spacing w:after="0"/>
            </w:pPr>
            <w:r/>
            <w:r>
              <w:rPr>
                <w:rFonts w:ascii="Aptos" w:hAnsi="Aptos"/>
                <w:b w:val="0"/>
                <w:color w:val="1F2937"/>
                <w:sz w:val="14"/>
              </w:rPr>
              <w:t>HIGH</w:t>
            </w:r>
          </w:p>
        </w:tc>
        <w:tc>
          <w:tcPr>
            <w:tcW w:type="dxa" w:w="3240"/>
            <w:vAlign w:val="center"/>
            <w:shd w:fill="F4F7FA"/>
          </w:tcPr>
          <w:p>
            <w:pPr>
              <w:spacing w:after="0"/>
            </w:pPr>
            <w:r/>
            <w:r>
              <w:rPr>
                <w:rFonts w:ascii="Aptos" w:hAnsi="Aptos"/>
                <w:b w:val="0"/>
                <w:color w:val="1F2937"/>
                <w:sz w:val="14"/>
              </w:rPr>
              <w:t>The API returned RBA_LIMITED: Inline DLP scope required. Data-loss prevention coverage cannot be confirmed.</w:t>
            </w:r>
          </w:p>
        </w:tc>
        <w:tc>
          <w:tcPr>
            <w:tcW w:type="dxa" w:w="2966"/>
            <w:vAlign w:val="center"/>
            <w:shd w:fill="F4F7FA"/>
          </w:tcPr>
          <w:p>
            <w:pPr>
              <w:spacing w:after="0"/>
            </w:pPr>
            <w:r/>
            <w:r>
              <w:rPr>
                <w:rFonts w:ascii="Aptos" w:hAnsi="Aptos"/>
                <w:b w:val="0"/>
                <w:color w:val="1F2937"/>
                <w:sz w:val="14"/>
              </w:rPr>
              <w:t>Validate licensing and role scope; obtain a separate read-only evidence export if access is intentionally restricted.</w:t>
            </w:r>
          </w:p>
        </w:tc>
      </w:tr>
      <w:tr>
        <w:tc>
          <w:tcPr>
            <w:tcW w:type="dxa" w:w="605"/>
            <w:vAlign w:val="center"/>
            <w:shd w:fill="FFFFFF"/>
          </w:tcPr>
          <w:p>
            <w:pPr>
              <w:spacing w:after="0"/>
            </w:pPr>
            <w:r/>
            <w:r>
              <w:rPr>
                <w:rFonts w:ascii="Aptos" w:hAnsi="Aptos"/>
                <w:b w:val="0"/>
                <w:color w:val="1F2937"/>
                <w:sz w:val="14"/>
              </w:rPr>
              <w:t>L-04</w:t>
            </w:r>
          </w:p>
        </w:tc>
        <w:tc>
          <w:tcPr>
            <w:tcW w:type="dxa" w:w="2232"/>
            <w:vAlign w:val="center"/>
            <w:shd w:fill="FFFFFF"/>
          </w:tcPr>
          <w:p>
            <w:pPr>
              <w:spacing w:after="0"/>
            </w:pPr>
            <w:r/>
            <w:r>
              <w:rPr>
                <w:rFonts w:ascii="Aptos" w:hAnsi="Aptos"/>
                <w:b w:val="0"/>
                <w:color w:val="1F2937"/>
                <w:sz w:val="14"/>
              </w:rPr>
              <w:t>Local client secret stored in mode 0666 .env</w:t>
            </w:r>
          </w:p>
        </w:tc>
        <w:tc>
          <w:tcPr>
            <w:tcW w:type="dxa" w:w="893"/>
            <w:vAlign w:val="center"/>
            <w:shd w:fill="FFFFFF"/>
          </w:tcPr>
          <w:p>
            <w:pPr>
              <w:spacing w:after="0"/>
            </w:pPr>
            <w:r/>
            <w:r>
              <w:rPr>
                <w:rFonts w:ascii="Aptos" w:hAnsi="Aptos"/>
                <w:b w:val="0"/>
                <w:color w:val="1F2937"/>
                <w:sz w:val="14"/>
              </w:rPr>
              <w:t>HIGH</w:t>
            </w:r>
          </w:p>
        </w:tc>
        <w:tc>
          <w:tcPr>
            <w:tcW w:type="dxa" w:w="3240"/>
            <w:vAlign w:val="center"/>
            <w:shd w:fill="FFFFFF"/>
          </w:tcPr>
          <w:p>
            <w:pPr>
              <w:spacing w:after="0"/>
            </w:pPr>
            <w:r/>
            <w:r>
              <w:rPr>
                <w:rFonts w:ascii="Aptos" w:hAnsi="Aptos"/>
                <w:b w:val="0"/>
                <w:color w:val="1F2937"/>
                <w:sz w:val="14"/>
              </w:rPr>
              <w:t>All local users can read or modify the credential file.</w:t>
            </w:r>
          </w:p>
        </w:tc>
        <w:tc>
          <w:tcPr>
            <w:tcW w:type="dxa" w:w="2966"/>
            <w:vAlign w:val="center"/>
            <w:shd w:fill="FFFFFF"/>
          </w:tcPr>
          <w:p>
            <w:pPr>
              <w:spacing w:after="0"/>
            </w:pPr>
            <w:r/>
            <w:r>
              <w:rPr>
                <w:rFonts w:ascii="Aptos" w:hAnsi="Aptos"/>
                <w:b w:val="0"/>
                <w:color w:val="1F2937"/>
                <w:sz w:val="14"/>
              </w:rPr>
              <w:t>Change to 0600 immediately and rotate the secret if exposure is possible.</w:t>
            </w:r>
          </w:p>
        </w:tc>
      </w:tr>
      <w:tr>
        <w:tc>
          <w:tcPr>
            <w:tcW w:type="dxa" w:w="605"/>
            <w:vAlign w:val="center"/>
            <w:shd w:fill="F4F7FA"/>
          </w:tcPr>
          <w:p>
            <w:pPr>
              <w:spacing w:after="0"/>
            </w:pPr>
            <w:r/>
            <w:r>
              <w:rPr>
                <w:rFonts w:ascii="Aptos" w:hAnsi="Aptos"/>
                <w:b w:val="0"/>
                <w:color w:val="1F2937"/>
                <w:sz w:val="14"/>
              </w:rPr>
              <w:t>L-05</w:t>
            </w:r>
          </w:p>
        </w:tc>
        <w:tc>
          <w:tcPr>
            <w:tcW w:type="dxa" w:w="2232"/>
            <w:vAlign w:val="center"/>
            <w:shd w:fill="F4F7FA"/>
          </w:tcPr>
          <w:p>
            <w:pPr>
              <w:spacing w:after="0"/>
            </w:pPr>
            <w:r/>
            <w:r>
              <w:rPr>
                <w:rFonts w:ascii="Aptos" w:hAnsi="Aptos"/>
                <w:b w:val="0"/>
                <w:color w:val="1F2937"/>
                <w:sz w:val="14"/>
              </w:rPr>
              <w:t>Policy enforcement is inconsistent</w:t>
            </w:r>
          </w:p>
        </w:tc>
        <w:tc>
          <w:tcPr>
            <w:tcW w:type="dxa" w:w="893"/>
            <w:vAlign w:val="center"/>
            <w:shd w:fill="F4F7FA"/>
          </w:tcPr>
          <w:p>
            <w:pPr>
              <w:spacing w:after="0"/>
            </w:pPr>
            <w:r/>
            <w:r>
              <w:rPr>
                <w:rFonts w:ascii="Aptos" w:hAnsi="Aptos"/>
                <w:b w:val="0"/>
                <w:color w:val="1F2937"/>
                <w:sz w:val="14"/>
              </w:rPr>
              <w:t>MEDIUM</w:t>
            </w:r>
          </w:p>
        </w:tc>
        <w:tc>
          <w:tcPr>
            <w:tcW w:type="dxa" w:w="3240"/>
            <w:vAlign w:val="center"/>
            <w:shd w:fill="F4F7FA"/>
          </w:tcPr>
          <w:p>
            <w:pPr>
              <w:spacing w:after="0"/>
            </w:pPr>
            <w:r/>
            <w:r>
              <w:rPr>
                <w:rFonts w:ascii="Aptos" w:hAnsi="Aptos"/>
                <w:b w:val="0"/>
                <w:color w:val="1F2937"/>
                <w:sz w:val="14"/>
              </w:rPr>
              <w:t>Unauthenticated-policy enforcement is false; several transport-hardening flags are false; some rules are disabled.</w:t>
            </w:r>
          </w:p>
        </w:tc>
        <w:tc>
          <w:tcPr>
            <w:tcW w:type="dxa" w:w="2966"/>
            <w:vAlign w:val="center"/>
            <w:shd w:fill="F4F7FA"/>
          </w:tcPr>
          <w:p>
            <w:pPr>
              <w:spacing w:after="0"/>
            </w:pPr>
            <w:r/>
            <w:r>
              <w:rPr>
                <w:rFonts w:ascii="Aptos" w:hAnsi="Aptos"/>
                <w:b w:val="0"/>
                <w:color w:val="1F2937"/>
                <w:sz w:val="14"/>
              </w:rPr>
              <w:t>Perform policy exception review and document risk acceptance for each bypass.</w:t>
            </w:r>
          </w:p>
        </w:tc>
      </w:tr>
      <w:tr>
        <w:tc>
          <w:tcPr>
            <w:tcW w:type="dxa" w:w="605"/>
            <w:vAlign w:val="center"/>
            <w:shd w:fill="FFFFFF"/>
          </w:tcPr>
          <w:p>
            <w:pPr>
              <w:spacing w:after="0"/>
            </w:pPr>
            <w:r/>
            <w:r>
              <w:rPr>
                <w:rFonts w:ascii="Aptos" w:hAnsi="Aptos"/>
                <w:b w:val="0"/>
                <w:color w:val="1F2937"/>
                <w:sz w:val="14"/>
              </w:rPr>
              <w:t>L-06</w:t>
            </w:r>
          </w:p>
        </w:tc>
        <w:tc>
          <w:tcPr>
            <w:tcW w:type="dxa" w:w="2232"/>
            <w:vAlign w:val="center"/>
            <w:shd w:fill="FFFFFF"/>
          </w:tcPr>
          <w:p>
            <w:pPr>
              <w:spacing w:after="0"/>
            </w:pPr>
            <w:r/>
            <w:r>
              <w:rPr>
                <w:rFonts w:ascii="Aptos" w:hAnsi="Aptos"/>
                <w:b w:val="0"/>
                <w:color w:val="1F2937"/>
                <w:sz w:val="14"/>
              </w:rPr>
              <w:t>Trusted-network posture appears empty</w:t>
            </w:r>
          </w:p>
        </w:tc>
        <w:tc>
          <w:tcPr>
            <w:tcW w:type="dxa" w:w="893"/>
            <w:vAlign w:val="center"/>
            <w:shd w:fill="FFFFFF"/>
          </w:tcPr>
          <w:p>
            <w:pPr>
              <w:spacing w:after="0"/>
            </w:pPr>
            <w:r/>
            <w:r>
              <w:rPr>
                <w:rFonts w:ascii="Aptos" w:hAnsi="Aptos"/>
                <w:b w:val="0"/>
                <w:color w:val="1F2937"/>
                <w:sz w:val="14"/>
              </w:rPr>
              <w:t>MEDIUM</w:t>
            </w:r>
          </w:p>
        </w:tc>
        <w:tc>
          <w:tcPr>
            <w:tcW w:type="dxa" w:w="3240"/>
            <w:vAlign w:val="center"/>
            <w:shd w:fill="FFFFFF"/>
          </w:tcPr>
          <w:p>
            <w:pPr>
              <w:spacing w:after="0"/>
            </w:pPr>
            <w:r/>
            <w:r>
              <w:rPr>
                <w:rFonts w:ascii="Aptos" w:hAnsi="Aptos"/>
                <w:b w:val="0"/>
                <w:color w:val="1F2937"/>
                <w:sz w:val="14"/>
              </w:rPr>
              <w:t>No trusted networks were returned, which may mean none are configured or the identity lacks visibility.</w:t>
            </w:r>
          </w:p>
        </w:tc>
        <w:tc>
          <w:tcPr>
            <w:tcW w:type="dxa" w:w="2966"/>
            <w:vAlign w:val="center"/>
            <w:shd w:fill="FFFFFF"/>
          </w:tcPr>
          <w:p>
            <w:pPr>
              <w:spacing w:after="0"/>
            </w:pPr>
            <w:r/>
            <w:r>
              <w:rPr>
                <w:rFonts w:ascii="Aptos" w:hAnsi="Aptos"/>
                <w:b w:val="0"/>
                <w:color w:val="1F2937"/>
                <w:sz w:val="14"/>
              </w:rPr>
              <w:t>Confirm intended architecture and enforce trusted-network controls where required.</w:t>
            </w:r>
          </w:p>
        </w:tc>
      </w:tr>
      <w:tr>
        <w:tc>
          <w:tcPr>
            <w:tcW w:type="dxa" w:w="605"/>
            <w:vAlign w:val="center"/>
            <w:shd w:fill="F4F7FA"/>
          </w:tcPr>
          <w:p>
            <w:pPr>
              <w:spacing w:after="0"/>
            </w:pPr>
            <w:r/>
            <w:r>
              <w:rPr>
                <w:rFonts w:ascii="Aptos" w:hAnsi="Aptos"/>
                <w:b w:val="0"/>
                <w:color w:val="1F2937"/>
                <w:sz w:val="14"/>
              </w:rPr>
              <w:t>L-07</w:t>
            </w:r>
          </w:p>
        </w:tc>
        <w:tc>
          <w:tcPr>
            <w:tcW w:type="dxa" w:w="2232"/>
            <w:vAlign w:val="center"/>
            <w:shd w:fill="F4F7FA"/>
          </w:tcPr>
          <w:p>
            <w:pPr>
              <w:spacing w:after="0"/>
            </w:pPr>
            <w:r/>
            <w:r>
              <w:rPr>
                <w:rFonts w:ascii="Aptos" w:hAnsi="Aptos"/>
                <w:b w:val="0"/>
                <w:color w:val="1F2937"/>
                <w:sz w:val="14"/>
              </w:rPr>
              <w:t>Audit and retention evidence is incomplete</w:t>
            </w:r>
          </w:p>
        </w:tc>
        <w:tc>
          <w:tcPr>
            <w:tcW w:type="dxa" w:w="893"/>
            <w:vAlign w:val="center"/>
            <w:shd w:fill="F4F7FA"/>
          </w:tcPr>
          <w:p>
            <w:pPr>
              <w:spacing w:after="0"/>
            </w:pPr>
            <w:r/>
            <w:r>
              <w:rPr>
                <w:rFonts w:ascii="Aptos" w:hAnsi="Aptos"/>
                <w:b w:val="0"/>
                <w:color w:val="1F2937"/>
                <w:sz w:val="14"/>
              </w:rPr>
              <w:t>MEDIUM</w:t>
            </w:r>
          </w:p>
        </w:tc>
        <w:tc>
          <w:tcPr>
            <w:tcW w:type="dxa" w:w="3240"/>
            <w:vAlign w:val="center"/>
            <w:shd w:fill="F4F7FA"/>
          </w:tcPr>
          <w:p>
            <w:pPr>
              <w:spacing w:after="0"/>
            </w:pPr>
            <w:r/>
            <w:r>
              <w:rPr>
                <w:rFonts w:ascii="Aptos" w:hAnsi="Aptos"/>
                <w:b w:val="0"/>
                <w:color w:val="1F2937"/>
                <w:sz w:val="14"/>
              </w:rPr>
              <w:t>Live policy state does not demonstrate who approved, changed, or reviewed it.</w:t>
            </w:r>
          </w:p>
        </w:tc>
        <w:tc>
          <w:tcPr>
            <w:tcW w:type="dxa" w:w="2966"/>
            <w:vAlign w:val="center"/>
            <w:shd w:fill="F4F7FA"/>
          </w:tcPr>
          <w:p>
            <w:pPr>
              <w:spacing w:after="0"/>
            </w:pPr>
            <w:r/>
            <w:r>
              <w:rPr>
                <w:rFonts w:ascii="Aptos" w:hAnsi="Aptos"/>
                <w:b w:val="0"/>
                <w:color w:val="1F2937"/>
                <w:sz w:val="14"/>
              </w:rPr>
              <w:t>Centralize audit logs, define retention, and require quarterly access and policy review.</w:t>
            </w:r>
          </w:p>
        </w:tc>
      </w:tr>
    </w:tbl>
    <w:p>
      <w:pPr>
        <w:spacing w:after="20"/>
      </w:pPr>
    </w:p>
    <w:p>
      <w:pPr>
        <w:pStyle w:val="Heading1"/>
      </w:pPr>
      <w:r>
        <w:t>3. Live Tenant Control Posture</w:t>
      </w:r>
    </w:p>
    <w:p>
      <w:pPr>
        <w:pStyle w:val="Heading2"/>
      </w:pPr>
      <w:r>
        <w:t>3.1 ZIA service and advanced settings</w:t>
      </w:r>
    </w:p>
    <w:p>
      <w:pPr>
        <w:spacing w:after="100"/>
      </w:pPr>
      <w:r>
        <w:t>The ZIA service reported ACTIVE. The live advanced-settings response showed several positive controls, including HTTP tunneling tracking, blocking HTTP tunnels on non-HTTP ports, and blocking CONNECT host/SNI mismatch. It also showed settings requiring governance review: policy for unauthenticated traffic was false, admin-rank access was false, UI session timeout was 1,800 seconds, and multiple bypass lists were populated.</w:t>
      </w:r>
    </w:p>
    <w:tbl>
      <w:tblPr>
        <w:tblW w:type="auto" w:w="0"/>
        <w:jc w:val="center"/>
        <w:tblLayout w:type="fixed"/>
        <w:tblLook w:firstColumn="1" w:firstRow="1" w:lastColumn="0" w:lastRow="0" w:noHBand="0" w:noVBand="1" w:val="04A0"/>
      </w:tblPr>
      <w:tblGrid>
        <w:gridCol w:w="3360"/>
        <w:gridCol w:w="3360"/>
        <w:gridCol w:w="3360"/>
      </w:tblGrid>
      <w:tr>
        <w:tc>
          <w:tcPr>
            <w:tcW w:type="dxa" w:w="3168"/>
            <w:vAlign w:val="center"/>
            <w:shd w:fill="17365D"/>
          </w:tcPr>
          <w:p>
            <w:pPr>
              <w:spacing w:after="0"/>
            </w:pPr>
            <w:r/>
            <w:r>
              <w:rPr>
                <w:rFonts w:ascii="Aptos" w:hAnsi="Aptos"/>
                <w:b/>
                <w:color w:val="FFFFFF"/>
                <w:sz w:val="15"/>
              </w:rPr>
              <w:t>Observed setting</w:t>
            </w:r>
          </w:p>
        </w:tc>
        <w:tc>
          <w:tcPr>
            <w:tcW w:type="dxa" w:w="1728"/>
            <w:vAlign w:val="center"/>
            <w:shd w:fill="17365D"/>
          </w:tcPr>
          <w:p>
            <w:pPr>
              <w:spacing w:after="0"/>
            </w:pPr>
            <w:r/>
            <w:r>
              <w:rPr>
                <w:rFonts w:ascii="Aptos" w:hAnsi="Aptos"/>
                <w:b/>
                <w:color w:val="FFFFFF"/>
                <w:sz w:val="15"/>
              </w:rPr>
              <w:t>Observed state</w:t>
            </w:r>
          </w:p>
        </w:tc>
        <w:tc>
          <w:tcPr>
            <w:tcW w:type="dxa" w:w="5040"/>
            <w:vAlign w:val="center"/>
            <w:shd w:fill="17365D"/>
          </w:tcPr>
          <w:p>
            <w:pPr>
              <w:spacing w:after="0"/>
            </w:pPr>
            <w:r/>
            <w:r>
              <w:rPr>
                <w:rFonts w:ascii="Aptos" w:hAnsi="Aptos"/>
                <w:b/>
                <w:color w:val="FFFFFF"/>
                <w:sz w:val="15"/>
              </w:rPr>
              <w:t>Risk interpretation</w:t>
            </w:r>
          </w:p>
        </w:tc>
      </w:tr>
      <w:tr>
        <w:tc>
          <w:tcPr>
            <w:tcW w:type="dxa" w:w="3168"/>
            <w:vAlign w:val="center"/>
            <w:shd w:fill="F4F7FA"/>
          </w:tcPr>
          <w:p>
            <w:pPr>
              <w:spacing w:after="0"/>
            </w:pPr>
            <w:r/>
            <w:r>
              <w:rPr>
                <w:rFonts w:ascii="Aptos" w:hAnsi="Aptos"/>
                <w:b w:val="0"/>
                <w:color w:val="1F2937"/>
                <w:sz w:val="15"/>
              </w:rPr>
              <w:t>ZIA activation</w:t>
            </w:r>
          </w:p>
        </w:tc>
        <w:tc>
          <w:tcPr>
            <w:tcW w:type="dxa" w:w="1728"/>
            <w:vAlign w:val="center"/>
            <w:shd w:fill="F4F7FA"/>
          </w:tcPr>
          <w:p>
            <w:pPr>
              <w:spacing w:after="0"/>
            </w:pPr>
            <w:r/>
            <w:r>
              <w:rPr>
                <w:rFonts w:ascii="Aptos" w:hAnsi="Aptos"/>
                <w:b w:val="0"/>
                <w:color w:val="1F2937"/>
                <w:sz w:val="15"/>
              </w:rPr>
              <w:t>ACTIVE</w:t>
            </w:r>
          </w:p>
        </w:tc>
        <w:tc>
          <w:tcPr>
            <w:tcW w:type="dxa" w:w="5040"/>
            <w:vAlign w:val="center"/>
            <w:shd w:fill="F4F7FA"/>
          </w:tcPr>
          <w:p>
            <w:pPr>
              <w:spacing w:after="0"/>
            </w:pPr>
            <w:r/>
            <w:r>
              <w:rPr>
                <w:rFonts w:ascii="Aptos" w:hAnsi="Aptos"/>
                <w:b w:val="0"/>
                <w:color w:val="1F2937"/>
                <w:sz w:val="15"/>
              </w:rPr>
              <w:t>Positive availability signal.</w:t>
            </w:r>
          </w:p>
        </w:tc>
      </w:tr>
      <w:tr>
        <w:tc>
          <w:tcPr>
            <w:tcW w:type="dxa" w:w="3168"/>
            <w:vAlign w:val="center"/>
            <w:shd w:fill="FFFFFF"/>
          </w:tcPr>
          <w:p>
            <w:pPr>
              <w:spacing w:after="0"/>
            </w:pPr>
            <w:r/>
            <w:r>
              <w:rPr>
                <w:rFonts w:ascii="Aptos" w:hAnsi="Aptos"/>
                <w:b w:val="0"/>
                <w:color w:val="1F2937"/>
                <w:sz w:val="15"/>
              </w:rPr>
              <w:t>Track HTTP tunnel on HTTP ports</w:t>
            </w:r>
          </w:p>
        </w:tc>
        <w:tc>
          <w:tcPr>
            <w:tcW w:type="dxa" w:w="1728"/>
            <w:vAlign w:val="center"/>
            <w:shd w:fill="FFFFFF"/>
          </w:tcPr>
          <w:p>
            <w:pPr>
              <w:spacing w:after="0"/>
            </w:pPr>
            <w:r/>
            <w:r>
              <w:rPr>
                <w:rFonts w:ascii="Aptos" w:hAnsi="Aptos"/>
                <w:b w:val="0"/>
                <w:color w:val="1F2937"/>
                <w:sz w:val="15"/>
              </w:rPr>
              <w:t>TRUE</w:t>
            </w:r>
          </w:p>
        </w:tc>
        <w:tc>
          <w:tcPr>
            <w:tcW w:type="dxa" w:w="5040"/>
            <w:vAlign w:val="center"/>
            <w:shd w:fill="FFFFFF"/>
          </w:tcPr>
          <w:p>
            <w:pPr>
              <w:spacing w:after="0"/>
            </w:pPr>
            <w:r/>
            <w:r>
              <w:rPr>
                <w:rFonts w:ascii="Aptos" w:hAnsi="Aptos"/>
                <w:b w:val="0"/>
                <w:color w:val="1F2937"/>
                <w:sz w:val="15"/>
              </w:rPr>
              <w:t>Supports monitoring of tunneled traffic.</w:t>
            </w:r>
          </w:p>
        </w:tc>
      </w:tr>
      <w:tr>
        <w:tc>
          <w:tcPr>
            <w:tcW w:type="dxa" w:w="3168"/>
            <w:vAlign w:val="center"/>
            <w:shd w:fill="F4F7FA"/>
          </w:tcPr>
          <w:p>
            <w:pPr>
              <w:spacing w:after="0"/>
            </w:pPr>
            <w:r/>
            <w:r>
              <w:rPr>
                <w:rFonts w:ascii="Aptos" w:hAnsi="Aptos"/>
                <w:b w:val="0"/>
                <w:color w:val="1F2937"/>
                <w:sz w:val="15"/>
              </w:rPr>
              <w:t>Block HTTP tunnel on non-HTTP ports</w:t>
            </w:r>
          </w:p>
        </w:tc>
        <w:tc>
          <w:tcPr>
            <w:tcW w:type="dxa" w:w="1728"/>
            <w:vAlign w:val="center"/>
            <w:shd w:fill="F4F7FA"/>
          </w:tcPr>
          <w:p>
            <w:pPr>
              <w:spacing w:after="0"/>
            </w:pPr>
            <w:r/>
            <w:r>
              <w:rPr>
                <w:rFonts w:ascii="Aptos" w:hAnsi="Aptos"/>
                <w:b w:val="0"/>
                <w:color w:val="1F2937"/>
                <w:sz w:val="15"/>
              </w:rPr>
              <w:t>TRUE</w:t>
            </w:r>
          </w:p>
        </w:tc>
        <w:tc>
          <w:tcPr>
            <w:tcW w:type="dxa" w:w="5040"/>
            <w:vAlign w:val="center"/>
            <w:shd w:fill="F4F7FA"/>
          </w:tcPr>
          <w:p>
            <w:pPr>
              <w:spacing w:after="0"/>
            </w:pPr>
            <w:r/>
            <w:r>
              <w:rPr>
                <w:rFonts w:ascii="Aptos" w:hAnsi="Aptos"/>
                <w:b w:val="0"/>
                <w:color w:val="1F2937"/>
                <w:sz w:val="15"/>
              </w:rPr>
              <w:t>Positive protocol-abuse control.</w:t>
            </w:r>
          </w:p>
        </w:tc>
      </w:tr>
      <w:tr>
        <w:tc>
          <w:tcPr>
            <w:tcW w:type="dxa" w:w="3168"/>
            <w:vAlign w:val="center"/>
            <w:shd w:fill="FFFFFF"/>
          </w:tcPr>
          <w:p>
            <w:pPr>
              <w:spacing w:after="0"/>
            </w:pPr>
            <w:r/>
            <w:r>
              <w:rPr>
                <w:rFonts w:ascii="Aptos" w:hAnsi="Aptos"/>
                <w:b w:val="0"/>
                <w:color w:val="1F2937"/>
                <w:sz w:val="15"/>
              </w:rPr>
              <w:t>Block CONNECT host/SNI mismatch</w:t>
            </w:r>
          </w:p>
        </w:tc>
        <w:tc>
          <w:tcPr>
            <w:tcW w:type="dxa" w:w="1728"/>
            <w:vAlign w:val="center"/>
            <w:shd w:fill="FFFFFF"/>
          </w:tcPr>
          <w:p>
            <w:pPr>
              <w:spacing w:after="0"/>
            </w:pPr>
            <w:r/>
            <w:r>
              <w:rPr>
                <w:rFonts w:ascii="Aptos" w:hAnsi="Aptos"/>
                <w:b w:val="0"/>
                <w:color w:val="1F2937"/>
                <w:sz w:val="15"/>
              </w:rPr>
              <w:t>TRUE</w:t>
            </w:r>
          </w:p>
        </w:tc>
        <w:tc>
          <w:tcPr>
            <w:tcW w:type="dxa" w:w="5040"/>
            <w:vAlign w:val="center"/>
            <w:shd w:fill="FFFFFF"/>
          </w:tcPr>
          <w:p>
            <w:pPr>
              <w:spacing w:after="0"/>
            </w:pPr>
            <w:r/>
            <w:r>
              <w:rPr>
                <w:rFonts w:ascii="Aptos" w:hAnsi="Aptos"/>
                <w:b w:val="0"/>
                <w:color w:val="1F2937"/>
                <w:sz w:val="15"/>
              </w:rPr>
              <w:t>Positive anti-evasion control.</w:t>
            </w:r>
          </w:p>
        </w:tc>
      </w:tr>
      <w:tr>
        <w:tc>
          <w:tcPr>
            <w:tcW w:type="dxa" w:w="3168"/>
            <w:vAlign w:val="center"/>
            <w:shd w:fill="F4F7FA"/>
          </w:tcPr>
          <w:p>
            <w:pPr>
              <w:spacing w:after="0"/>
            </w:pPr>
            <w:r/>
            <w:r>
              <w:rPr>
                <w:rFonts w:ascii="Aptos" w:hAnsi="Aptos"/>
                <w:b w:val="0"/>
                <w:color w:val="1F2937"/>
                <w:sz w:val="15"/>
              </w:rPr>
              <w:t>Policy for unauthenticated traffic</w:t>
            </w:r>
          </w:p>
        </w:tc>
        <w:tc>
          <w:tcPr>
            <w:tcW w:type="dxa" w:w="1728"/>
            <w:vAlign w:val="center"/>
            <w:shd w:fill="F4F7FA"/>
          </w:tcPr>
          <w:p>
            <w:pPr>
              <w:spacing w:after="0"/>
            </w:pPr>
            <w:r/>
            <w:r>
              <w:rPr>
                <w:rFonts w:ascii="Aptos" w:hAnsi="Aptos"/>
                <w:b w:val="0"/>
                <w:color w:val="1F2937"/>
                <w:sz w:val="15"/>
              </w:rPr>
              <w:t>FALSE</w:t>
            </w:r>
          </w:p>
        </w:tc>
        <w:tc>
          <w:tcPr>
            <w:tcW w:type="dxa" w:w="5040"/>
            <w:vAlign w:val="center"/>
            <w:shd w:fill="F4F7FA"/>
          </w:tcPr>
          <w:p>
            <w:pPr>
              <w:spacing w:after="0"/>
            </w:pPr>
            <w:r/>
            <w:r>
              <w:rPr>
                <w:rFonts w:ascii="Aptos" w:hAnsi="Aptos"/>
                <w:b w:val="0"/>
                <w:color w:val="1F2937"/>
                <w:sz w:val="15"/>
              </w:rPr>
              <w:t>Review whether unauthenticated traffic can bypass expected policy.</w:t>
            </w:r>
          </w:p>
        </w:tc>
      </w:tr>
      <w:tr>
        <w:tc>
          <w:tcPr>
            <w:tcW w:type="dxa" w:w="3168"/>
            <w:vAlign w:val="center"/>
            <w:shd w:fill="FFFFFF"/>
          </w:tcPr>
          <w:p>
            <w:pPr>
              <w:spacing w:after="0"/>
            </w:pPr>
            <w:r/>
            <w:r>
              <w:rPr>
                <w:rFonts w:ascii="Aptos" w:hAnsi="Aptos"/>
                <w:b w:val="0"/>
                <w:color w:val="1F2937"/>
                <w:sz w:val="15"/>
              </w:rPr>
              <w:t>Admin-rank access</w:t>
            </w:r>
          </w:p>
        </w:tc>
        <w:tc>
          <w:tcPr>
            <w:tcW w:type="dxa" w:w="1728"/>
            <w:vAlign w:val="center"/>
            <w:shd w:fill="FFFFFF"/>
          </w:tcPr>
          <w:p>
            <w:pPr>
              <w:spacing w:after="0"/>
            </w:pPr>
            <w:r/>
            <w:r>
              <w:rPr>
                <w:rFonts w:ascii="Aptos" w:hAnsi="Aptos"/>
                <w:b w:val="0"/>
                <w:color w:val="1F2937"/>
                <w:sz w:val="15"/>
              </w:rPr>
              <w:t>FALSE</w:t>
            </w:r>
          </w:p>
        </w:tc>
        <w:tc>
          <w:tcPr>
            <w:tcW w:type="dxa" w:w="5040"/>
            <w:vAlign w:val="center"/>
            <w:shd w:fill="FFFFFF"/>
          </w:tcPr>
          <w:p>
            <w:pPr>
              <w:spacing w:after="0"/>
            </w:pPr>
            <w:r/>
            <w:r>
              <w:rPr>
                <w:rFonts w:ascii="Aptos" w:hAnsi="Aptos"/>
                <w:b w:val="0"/>
                <w:color w:val="1F2937"/>
                <w:sz w:val="15"/>
              </w:rPr>
              <w:t>Positive least-privilege signal; verify administrator workflow still functions.</w:t>
            </w:r>
          </w:p>
        </w:tc>
      </w:tr>
      <w:tr>
        <w:tc>
          <w:tcPr>
            <w:tcW w:type="dxa" w:w="3168"/>
            <w:vAlign w:val="center"/>
            <w:shd w:fill="F4F7FA"/>
          </w:tcPr>
          <w:p>
            <w:pPr>
              <w:spacing w:after="0"/>
            </w:pPr>
            <w:r/>
            <w:r>
              <w:rPr>
                <w:rFonts w:ascii="Aptos" w:hAnsi="Aptos"/>
                <w:b w:val="0"/>
                <w:color w:val="1F2937"/>
                <w:sz w:val="15"/>
              </w:rPr>
              <w:t>UI session timeout</w:t>
            </w:r>
          </w:p>
        </w:tc>
        <w:tc>
          <w:tcPr>
            <w:tcW w:type="dxa" w:w="1728"/>
            <w:vAlign w:val="center"/>
            <w:shd w:fill="F4F7FA"/>
          </w:tcPr>
          <w:p>
            <w:pPr>
              <w:spacing w:after="0"/>
            </w:pPr>
            <w:r/>
            <w:r>
              <w:rPr>
                <w:rFonts w:ascii="Aptos" w:hAnsi="Aptos"/>
                <w:b w:val="0"/>
                <w:color w:val="1F2937"/>
                <w:sz w:val="15"/>
              </w:rPr>
              <w:t>1,800 seconds</w:t>
            </w:r>
          </w:p>
        </w:tc>
        <w:tc>
          <w:tcPr>
            <w:tcW w:type="dxa" w:w="5040"/>
            <w:vAlign w:val="center"/>
            <w:shd w:fill="F4F7FA"/>
          </w:tcPr>
          <w:p>
            <w:pPr>
              <w:spacing w:after="0"/>
            </w:pPr>
            <w:r/>
            <w:r>
              <w:rPr>
                <w:rFonts w:ascii="Aptos" w:hAnsi="Aptos"/>
                <w:b w:val="0"/>
                <w:color w:val="1F2937"/>
                <w:sz w:val="15"/>
              </w:rPr>
              <w:t>Assess against organizational session-control requirements.</w:t>
            </w:r>
          </w:p>
        </w:tc>
      </w:tr>
      <w:tr>
        <w:tc>
          <w:tcPr>
            <w:tcW w:type="dxa" w:w="3168"/>
            <w:vAlign w:val="center"/>
            <w:shd w:fill="FFFFFF"/>
          </w:tcPr>
          <w:p>
            <w:pPr>
              <w:spacing w:after="0"/>
            </w:pPr>
            <w:r/>
            <w:r>
              <w:rPr>
                <w:rFonts w:ascii="Aptos" w:hAnsi="Aptos"/>
                <w:b w:val="0"/>
                <w:color w:val="1F2937"/>
                <w:sz w:val="15"/>
              </w:rPr>
              <w:t>Bypass lists</w:t>
            </w:r>
          </w:p>
        </w:tc>
        <w:tc>
          <w:tcPr>
            <w:tcW w:type="dxa" w:w="1728"/>
            <w:vAlign w:val="center"/>
            <w:shd w:fill="FFFFFF"/>
          </w:tcPr>
          <w:p>
            <w:pPr>
              <w:spacing w:after="0"/>
            </w:pPr>
            <w:r/>
            <w:r>
              <w:rPr>
                <w:rFonts w:ascii="Aptos" w:hAnsi="Aptos"/>
                <w:b w:val="0"/>
                <w:color w:val="1F2937"/>
                <w:sz w:val="15"/>
              </w:rPr>
              <w:t>Several category/application bypass lists populated</w:t>
            </w:r>
          </w:p>
        </w:tc>
        <w:tc>
          <w:tcPr>
            <w:tcW w:type="dxa" w:w="5040"/>
            <w:vAlign w:val="center"/>
            <w:shd w:fill="FFFFFF"/>
          </w:tcPr>
          <w:p>
            <w:pPr>
              <w:spacing w:after="0"/>
            </w:pPr>
            <w:r/>
            <w:r>
              <w:rPr>
                <w:rFonts w:ascii="Aptos" w:hAnsi="Aptos"/>
                <w:b w:val="0"/>
                <w:color w:val="1F2937"/>
                <w:sz w:val="15"/>
              </w:rPr>
              <w:t>Require documented exception owners, expiry, and periodic review.</w:t>
            </w:r>
          </w:p>
        </w:tc>
      </w:tr>
    </w:tbl>
    <w:p>
      <w:pPr>
        <w:spacing w:after="20"/>
      </w:pPr>
    </w:p>
    <w:p>
      <w:pPr>
        <w:pStyle w:val="Heading2"/>
      </w:pPr>
      <w:r>
        <w:t>3.2 Advanced threat protection</w:t>
      </w:r>
    </w:p>
    <w:p>
      <w:pPr>
        <w:spacing w:after="100"/>
      </w:pPr>
      <w:r>
        <w:t>The ATP settings showed blocking enabled for malware sites, active content, browser exploits, file-format vulnerabilities, known and suspected phishing, adware/spyware sites, webspam, anonymizers, cookie stealing, potentially malicious requests, BitTorrent, Tor, SSH tunneling, and crypto-mining. The risk tolerance value was 40. Capture flags were generally false, and alerting for unknown or suspicious command-and-control traffic was false.</w:t>
      </w:r>
    </w:p>
    <w:p>
      <w:pPr>
        <w:spacing w:after="100"/>
      </w:pPr>
      <w:r>
        <w:t>Executive risk: blocking controls are strong in several categories, but the absence of capture and C2 alerting may reduce forensic depth and detection assurance. Confirm whether logging, SIEM integration, and compensating detections exist elsewhere.</w:t>
      </w:r>
    </w:p>
    <w:p>
      <w:pPr>
        <w:pStyle w:val="Heading2"/>
      </w:pPr>
      <w:r>
        <w:t>3.3 Policy inventory</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944"/>
            <w:vAlign w:val="center"/>
            <w:shd w:fill="17365D"/>
          </w:tcPr>
          <w:p>
            <w:pPr>
              <w:spacing w:after="0"/>
            </w:pPr>
            <w:r/>
            <w:r>
              <w:rPr>
                <w:rFonts w:ascii="Aptos" w:hAnsi="Aptos"/>
                <w:b/>
                <w:color w:val="FFFFFF"/>
                <w:sz w:val="16"/>
              </w:rPr>
              <w:t>Policy layer</w:t>
            </w:r>
          </w:p>
        </w:tc>
        <w:tc>
          <w:tcPr>
            <w:tcW w:type="dxa" w:w="1152"/>
            <w:vAlign w:val="center"/>
            <w:shd w:fill="17365D"/>
          </w:tcPr>
          <w:p>
            <w:pPr>
              <w:spacing w:after="0"/>
            </w:pPr>
            <w:r/>
            <w:r>
              <w:rPr>
                <w:rFonts w:ascii="Aptos" w:hAnsi="Aptos"/>
                <w:b/>
                <w:color w:val="FFFFFF"/>
                <w:sz w:val="16"/>
              </w:rPr>
              <w:t>Inventory</w:t>
            </w:r>
          </w:p>
        </w:tc>
        <w:tc>
          <w:tcPr>
            <w:tcW w:type="dxa" w:w="1152"/>
            <w:vAlign w:val="center"/>
            <w:shd w:fill="17365D"/>
          </w:tcPr>
          <w:p>
            <w:pPr>
              <w:spacing w:after="0"/>
            </w:pPr>
            <w:r/>
            <w:r>
              <w:rPr>
                <w:rFonts w:ascii="Aptos" w:hAnsi="Aptos"/>
                <w:b/>
                <w:color w:val="FFFFFF"/>
                <w:sz w:val="16"/>
              </w:rPr>
              <w:t>Enabled</w:t>
            </w:r>
          </w:p>
        </w:tc>
        <w:tc>
          <w:tcPr>
            <w:tcW w:type="dxa" w:w="1152"/>
            <w:vAlign w:val="center"/>
            <w:shd w:fill="17365D"/>
          </w:tcPr>
          <w:p>
            <w:pPr>
              <w:spacing w:after="0"/>
            </w:pPr>
            <w:r/>
            <w:r>
              <w:rPr>
                <w:rFonts w:ascii="Aptos" w:hAnsi="Aptos"/>
                <w:b/>
                <w:color w:val="FFFFFF"/>
                <w:sz w:val="16"/>
              </w:rPr>
              <w:t>Disabled</w:t>
            </w:r>
          </w:p>
        </w:tc>
        <w:tc>
          <w:tcPr>
            <w:tcW w:type="dxa" w:w="4536"/>
            <w:vAlign w:val="center"/>
            <w:shd w:fill="17365D"/>
          </w:tcPr>
          <w:p>
            <w:pPr>
              <w:spacing w:after="0"/>
            </w:pPr>
            <w:r/>
            <w:r>
              <w:rPr>
                <w:rFonts w:ascii="Aptos" w:hAnsi="Aptos"/>
                <w:b/>
                <w:color w:val="FFFFFF"/>
                <w:sz w:val="16"/>
              </w:rPr>
              <w:t>Observed actions</w:t>
            </w:r>
          </w:p>
        </w:tc>
      </w:tr>
      <w:tr>
        <w:tc>
          <w:tcPr>
            <w:tcW w:type="dxa" w:w="1944"/>
            <w:vAlign w:val="center"/>
            <w:shd w:fill="F4F7FA"/>
          </w:tcPr>
          <w:p>
            <w:pPr>
              <w:spacing w:after="0"/>
            </w:pPr>
            <w:r/>
            <w:r>
              <w:rPr>
                <w:rFonts w:ascii="Aptos" w:hAnsi="Aptos"/>
                <w:b w:val="0"/>
                <w:color w:val="1F2937"/>
                <w:sz w:val="16"/>
              </w:rPr>
              <w:t>SSL inspection</w:t>
            </w:r>
          </w:p>
        </w:tc>
        <w:tc>
          <w:tcPr>
            <w:tcW w:type="dxa" w:w="1152"/>
            <w:vAlign w:val="center"/>
            <w:shd w:fill="F4F7FA"/>
          </w:tcPr>
          <w:p>
            <w:pPr>
              <w:spacing w:after="0"/>
            </w:pPr>
            <w:r/>
            <w:r>
              <w:rPr>
                <w:rFonts w:ascii="Aptos" w:hAnsi="Aptos"/>
                <w:b w:val="0"/>
                <w:color w:val="1F2937"/>
                <w:sz w:val="16"/>
              </w:rPr>
              <w:t>16</w:t>
            </w:r>
          </w:p>
        </w:tc>
        <w:tc>
          <w:tcPr>
            <w:tcW w:type="dxa" w:w="1152"/>
            <w:vAlign w:val="center"/>
            <w:shd w:fill="F4F7FA"/>
          </w:tcPr>
          <w:p>
            <w:pPr>
              <w:spacing w:after="0"/>
            </w:pPr>
            <w:r/>
            <w:r>
              <w:rPr>
                <w:rFonts w:ascii="Aptos" w:hAnsi="Aptos"/>
                <w:b w:val="0"/>
                <w:color w:val="1F2937"/>
                <w:sz w:val="16"/>
              </w:rPr>
              <w:t>15</w:t>
            </w:r>
          </w:p>
        </w:tc>
        <w:tc>
          <w:tcPr>
            <w:tcW w:type="dxa" w:w="1152"/>
            <w:vAlign w:val="center"/>
            <w:shd w:fill="F4F7FA"/>
          </w:tcPr>
          <w:p>
            <w:pPr>
              <w:spacing w:after="0"/>
            </w:pPr>
            <w:r/>
            <w:r>
              <w:rPr>
                <w:rFonts w:ascii="Aptos" w:hAnsi="Aptos"/>
                <w:b w:val="0"/>
                <w:color w:val="1F2937"/>
                <w:sz w:val="16"/>
              </w:rPr>
              <w:t>1</w:t>
            </w:r>
          </w:p>
        </w:tc>
        <w:tc>
          <w:tcPr>
            <w:tcW w:type="dxa" w:w="4536"/>
            <w:vAlign w:val="center"/>
            <w:shd w:fill="F4F7FA"/>
          </w:tcPr>
          <w:p>
            <w:pPr>
              <w:spacing w:after="0"/>
            </w:pPr>
            <w:r/>
            <w:r>
              <w:rPr>
                <w:rFonts w:ascii="Aptos" w:hAnsi="Aptos"/>
                <w:b w:val="0"/>
                <w:color w:val="1F2937"/>
                <w:sz w:val="16"/>
              </w:rPr>
              <w:t>Decrypt and do-not-decrypt actions; mixed TLS settings observed.</w:t>
            </w:r>
          </w:p>
        </w:tc>
      </w:tr>
      <w:tr>
        <w:tc>
          <w:tcPr>
            <w:tcW w:type="dxa" w:w="1944"/>
            <w:vAlign w:val="center"/>
            <w:shd w:fill="FFFFFF"/>
          </w:tcPr>
          <w:p>
            <w:pPr>
              <w:spacing w:after="0"/>
            </w:pPr>
            <w:r/>
            <w:r>
              <w:rPr>
                <w:rFonts w:ascii="Aptos" w:hAnsi="Aptos"/>
                <w:b w:val="0"/>
                <w:color w:val="1F2937"/>
                <w:sz w:val="16"/>
              </w:rPr>
              <w:t>URL filtering</w:t>
            </w:r>
          </w:p>
        </w:tc>
        <w:tc>
          <w:tcPr>
            <w:tcW w:type="dxa" w:w="1152"/>
            <w:vAlign w:val="center"/>
            <w:shd w:fill="FFFFFF"/>
          </w:tcPr>
          <w:p>
            <w:pPr>
              <w:spacing w:after="0"/>
            </w:pPr>
            <w:r/>
            <w:r>
              <w:rPr>
                <w:rFonts w:ascii="Aptos" w:hAnsi="Aptos"/>
                <w:b w:val="0"/>
                <w:color w:val="1F2937"/>
                <w:sz w:val="16"/>
              </w:rPr>
              <w:t>69</w:t>
            </w:r>
          </w:p>
        </w:tc>
        <w:tc>
          <w:tcPr>
            <w:tcW w:type="dxa" w:w="1152"/>
            <w:vAlign w:val="center"/>
            <w:shd w:fill="FFFFFF"/>
          </w:tcPr>
          <w:p>
            <w:pPr>
              <w:spacing w:after="0"/>
            </w:pPr>
            <w:r/>
            <w:r>
              <w:rPr>
                <w:rFonts w:ascii="Aptos" w:hAnsi="Aptos"/>
                <w:b w:val="0"/>
                <w:color w:val="1F2937"/>
                <w:sz w:val="16"/>
              </w:rPr>
              <w:t>65</w:t>
            </w:r>
          </w:p>
        </w:tc>
        <w:tc>
          <w:tcPr>
            <w:tcW w:type="dxa" w:w="1152"/>
            <w:vAlign w:val="center"/>
            <w:shd w:fill="FFFFFF"/>
          </w:tcPr>
          <w:p>
            <w:pPr>
              <w:spacing w:after="0"/>
            </w:pPr>
            <w:r/>
            <w:r>
              <w:rPr>
                <w:rFonts w:ascii="Aptos" w:hAnsi="Aptos"/>
                <w:b w:val="0"/>
                <w:color w:val="1F2937"/>
                <w:sz w:val="16"/>
              </w:rPr>
              <w:t>4</w:t>
            </w:r>
          </w:p>
        </w:tc>
        <w:tc>
          <w:tcPr>
            <w:tcW w:type="dxa" w:w="4536"/>
            <w:vAlign w:val="center"/>
            <w:shd w:fill="FFFFFF"/>
          </w:tcPr>
          <w:p>
            <w:pPr>
              <w:spacing w:after="0"/>
            </w:pPr>
            <w:r/>
            <w:r>
              <w:rPr>
                <w:rFonts w:ascii="Aptos" w:hAnsi="Aptos"/>
                <w:b w:val="0"/>
                <w:color w:val="1F2937"/>
                <w:sz w:val="16"/>
              </w:rPr>
              <w:t>64 allow, 4 block, 1 caution.</w:t>
            </w:r>
          </w:p>
        </w:tc>
      </w:tr>
      <w:tr>
        <w:tc>
          <w:tcPr>
            <w:tcW w:type="dxa" w:w="1944"/>
            <w:vAlign w:val="center"/>
            <w:shd w:fill="F4F7FA"/>
          </w:tcPr>
          <w:p>
            <w:pPr>
              <w:spacing w:after="0"/>
            </w:pPr>
            <w:r/>
            <w:r>
              <w:rPr>
                <w:rFonts w:ascii="Aptos" w:hAnsi="Aptos"/>
                <w:b w:val="0"/>
                <w:color w:val="1F2937"/>
                <w:sz w:val="16"/>
              </w:rPr>
              <w:t>Cloud firewall</w:t>
            </w:r>
          </w:p>
        </w:tc>
        <w:tc>
          <w:tcPr>
            <w:tcW w:type="dxa" w:w="1152"/>
            <w:vAlign w:val="center"/>
            <w:shd w:fill="F4F7FA"/>
          </w:tcPr>
          <w:p>
            <w:pPr>
              <w:spacing w:after="0"/>
            </w:pPr>
            <w:r/>
            <w:r>
              <w:rPr>
                <w:rFonts w:ascii="Aptos" w:hAnsi="Aptos"/>
                <w:b w:val="0"/>
                <w:color w:val="1F2937"/>
                <w:sz w:val="16"/>
              </w:rPr>
              <w:t>7</w:t>
            </w:r>
          </w:p>
        </w:tc>
        <w:tc>
          <w:tcPr>
            <w:tcW w:type="dxa" w:w="1152"/>
            <w:vAlign w:val="center"/>
            <w:shd w:fill="F4F7FA"/>
          </w:tcPr>
          <w:p>
            <w:pPr>
              <w:spacing w:after="0"/>
            </w:pPr>
            <w:r/>
            <w:r>
              <w:rPr>
                <w:rFonts w:ascii="Aptos" w:hAnsi="Aptos"/>
                <w:b w:val="0"/>
                <w:color w:val="1F2937"/>
                <w:sz w:val="16"/>
              </w:rPr>
              <w:t>6</w:t>
            </w:r>
          </w:p>
        </w:tc>
        <w:tc>
          <w:tcPr>
            <w:tcW w:type="dxa" w:w="1152"/>
            <w:vAlign w:val="center"/>
            <w:shd w:fill="F4F7FA"/>
          </w:tcPr>
          <w:p>
            <w:pPr>
              <w:spacing w:after="0"/>
            </w:pPr>
            <w:r/>
            <w:r>
              <w:rPr>
                <w:rFonts w:ascii="Aptos" w:hAnsi="Aptos"/>
                <w:b w:val="0"/>
                <w:color w:val="1F2937"/>
                <w:sz w:val="16"/>
              </w:rPr>
              <w:t>1</w:t>
            </w:r>
          </w:p>
        </w:tc>
        <w:tc>
          <w:tcPr>
            <w:tcW w:type="dxa" w:w="4536"/>
            <w:vAlign w:val="center"/>
            <w:shd w:fill="F4F7FA"/>
          </w:tcPr>
          <w:p>
            <w:pPr>
              <w:spacing w:after="0"/>
            </w:pPr>
            <w:r/>
            <w:r>
              <w:rPr>
                <w:rFonts w:ascii="Aptos" w:hAnsi="Aptos"/>
                <w:b w:val="0"/>
                <w:color w:val="1F2937"/>
                <w:sz w:val="16"/>
              </w:rPr>
              <w:t>5 allow, 2 block/drop.</w:t>
            </w:r>
          </w:p>
        </w:tc>
      </w:tr>
      <w:tr>
        <w:tc>
          <w:tcPr>
            <w:tcW w:type="dxa" w:w="1944"/>
            <w:vAlign w:val="center"/>
            <w:shd w:fill="FFFFFF"/>
          </w:tcPr>
          <w:p>
            <w:pPr>
              <w:spacing w:after="0"/>
            </w:pPr>
            <w:r/>
            <w:r>
              <w:rPr>
                <w:rFonts w:ascii="Aptos" w:hAnsi="Aptos"/>
                <w:b w:val="0"/>
                <w:color w:val="1F2937"/>
                <w:sz w:val="16"/>
              </w:rPr>
              <w:t>Locations</w:t>
            </w:r>
          </w:p>
        </w:tc>
        <w:tc>
          <w:tcPr>
            <w:tcW w:type="dxa" w:w="1152"/>
            <w:vAlign w:val="center"/>
            <w:shd w:fill="FFFFFF"/>
          </w:tcPr>
          <w:p>
            <w:pPr>
              <w:spacing w:after="0"/>
            </w:pPr>
            <w:r/>
            <w:r>
              <w:rPr>
                <w:rFonts w:ascii="Aptos" w:hAnsi="Aptos"/>
                <w:b w:val="0"/>
                <w:color w:val="1F2937"/>
                <w:sz w:val="16"/>
              </w:rPr>
              <w:t>6</w:t>
            </w:r>
          </w:p>
        </w:tc>
        <w:tc>
          <w:tcPr>
            <w:tcW w:type="dxa" w:w="1152"/>
            <w:vAlign w:val="center"/>
            <w:shd w:fill="FFFFFF"/>
          </w:tcPr>
          <w:p>
            <w:pPr>
              <w:spacing w:after="0"/>
            </w:pPr>
            <w:r/>
            <w:r>
              <w:rPr>
                <w:rFonts w:ascii="Aptos" w:hAnsi="Aptos"/>
                <w:b w:val="0"/>
                <w:color w:val="1F2937"/>
                <w:sz w:val="16"/>
              </w:rPr>
              <w:t>Not applicable</w:t>
            </w:r>
          </w:p>
        </w:tc>
        <w:tc>
          <w:tcPr>
            <w:tcW w:type="dxa" w:w="1152"/>
            <w:vAlign w:val="center"/>
            <w:shd w:fill="FFFFFF"/>
          </w:tcPr>
          <w:p>
            <w:pPr>
              <w:spacing w:after="0"/>
            </w:pPr>
            <w:r/>
            <w:r>
              <w:rPr>
                <w:rFonts w:ascii="Aptos" w:hAnsi="Aptos"/>
                <w:b w:val="0"/>
                <w:color w:val="1F2937"/>
                <w:sz w:val="16"/>
              </w:rPr>
              <w:t>Not applicable</w:t>
            </w:r>
          </w:p>
        </w:tc>
        <w:tc>
          <w:tcPr>
            <w:tcW w:type="dxa" w:w="4536"/>
            <w:vAlign w:val="center"/>
            <w:shd w:fill="FFFFFF"/>
          </w:tcPr>
          <w:p>
            <w:pPr>
              <w:spacing w:after="0"/>
            </w:pPr>
            <w:r/>
            <w:r>
              <w:rPr>
                <w:rFonts w:ascii="Aptos" w:hAnsi="Aptos"/>
                <w:b w:val="0"/>
                <w:color w:val="1F2937"/>
                <w:sz w:val="16"/>
              </w:rPr>
              <w:t>Location inventory visible; detailed records withheld from this report.</w:t>
            </w:r>
          </w:p>
        </w:tc>
      </w:tr>
    </w:tbl>
    <w:p>
      <w:pPr>
        <w:spacing w:after="20"/>
      </w:pPr>
    </w:p>
    <w:p>
      <w:pPr>
        <w:pStyle w:val="Heading1"/>
      </w:pPr>
      <w:r>
        <w:t>4. Threat, Endpoint, and Visibility Findings</w:t>
      </w:r>
    </w:p>
    <w:p>
      <w:pPr>
        <w:pStyle w:val="Heading2"/>
      </w:pPr>
      <w:r>
        <w:t>4.1 Cyber incidents and shadow IT</w:t>
      </w:r>
    </w:p>
    <w:p>
      <w:pPr>
        <w:spacing w:after="100"/>
      </w:pPr>
      <w:r>
        <w:t>For the selected 30-day window ending one day before the assessment date, the ZINS cyber-incidents tool returned 13 aggregate groupings with a combined total of 3,125,239 events. The daily trend tool returned no rows for that period, and the shadow-IT summary reported zero applications and zero bytes in the returned scope.</w:t>
      </w:r>
    </w:p>
    <w:p>
      <w:pPr>
        <w:spacing w:after="100"/>
      </w:pPr>
      <w:r>
        <w:t>These results must not be interpreted as proof that no shadow IT exists or that no daily activity occurred. They may reflect aggregation semantics, query scope, data availability, or entitlement limitations. Security operations should reconcile these results with the Zscaler console and enterprise SIEM.</w:t>
      </w:r>
    </w:p>
    <w:p>
      <w:pPr>
        <w:pStyle w:val="Heading2"/>
      </w:pPr>
      <w:r>
        <w:t>4.2 ZDX visibility limitation</w:t>
      </w:r>
    </w:p>
    <w:p>
      <w:pPr>
        <w:spacing w:after="100"/>
      </w:pPr>
      <w:r>
        <w:t>The configured API identity received HTTP 403 Not Authorized responses for ongoing ZDX alerts and active applications. This prevents live confirmation of user-experience incidents, application health, and alert backlog.</w:t>
      </w:r>
    </w:p>
    <w:p>
      <w:pPr>
        <w:pStyle w:val="Heading2"/>
      </w:pPr>
      <w:r>
        <w:t>4.3 Endpoint and trusted-network posture</w:t>
      </w:r>
    </w:p>
    <w:p>
      <w:pPr>
        <w:spacing w:after="100"/>
      </w:pPr>
      <w:r>
        <w:t>ZCC returned 50 device records. No trusted-network records were returned. Device details and tenant-identifying information are intentionally excluded from this report. Management should confirm whether zero trusted networks is an intended design state or a visibility / authorization issue.</w:t>
      </w:r>
    </w:p>
    <w:p>
      <w:pPr>
        <w:pStyle w:val="Heading1"/>
      </w:pPr>
      <w:r>
        <w:t>5. Governance and Compliance Assessment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vAlign w:val="center"/>
            <w:shd w:fill="17365D"/>
          </w:tcPr>
          <w:p>
            <w:pPr>
              <w:spacing w:after="0"/>
            </w:pPr>
            <w:r/>
            <w:r>
              <w:rPr>
                <w:rFonts w:ascii="Aptos" w:hAnsi="Aptos"/>
                <w:b/>
                <w:color w:val="FFFFFF"/>
                <w:sz w:val="15"/>
              </w:rPr>
              <w:t>Domain</w:t>
            </w:r>
          </w:p>
        </w:tc>
        <w:tc>
          <w:tcPr>
            <w:tcW w:type="dxa" w:w="3528"/>
            <w:vAlign w:val="center"/>
            <w:shd w:fill="17365D"/>
          </w:tcPr>
          <w:p>
            <w:pPr>
              <w:spacing w:after="0"/>
            </w:pPr>
            <w:r/>
            <w:r>
              <w:rPr>
                <w:rFonts w:ascii="Aptos" w:hAnsi="Aptos"/>
                <w:b/>
                <w:color w:val="FFFFFF"/>
                <w:sz w:val="15"/>
              </w:rPr>
              <w:t>Live evidence</w:t>
            </w:r>
          </w:p>
        </w:tc>
        <w:tc>
          <w:tcPr>
            <w:tcW w:type="dxa" w:w="1080"/>
            <w:vAlign w:val="center"/>
            <w:shd w:fill="17365D"/>
          </w:tcPr>
          <w:p>
            <w:pPr>
              <w:spacing w:after="0"/>
            </w:pPr>
            <w:r/>
            <w:r>
              <w:rPr>
                <w:rFonts w:ascii="Aptos" w:hAnsi="Aptos"/>
                <w:b/>
                <w:color w:val="FFFFFF"/>
                <w:sz w:val="15"/>
              </w:rPr>
              <w:t>Rating</w:t>
            </w:r>
          </w:p>
        </w:tc>
        <w:tc>
          <w:tcPr>
            <w:tcW w:type="dxa" w:w="3600"/>
            <w:vAlign w:val="center"/>
            <w:shd w:fill="17365D"/>
          </w:tcPr>
          <w:p>
            <w:pPr>
              <w:spacing w:after="0"/>
            </w:pPr>
            <w:r/>
            <w:r>
              <w:rPr>
                <w:rFonts w:ascii="Aptos" w:hAnsi="Aptos"/>
                <w:b/>
                <w:color w:val="FFFFFF"/>
                <w:sz w:val="15"/>
              </w:rPr>
              <w:t>Executive assessment</w:t>
            </w:r>
          </w:p>
        </w:tc>
      </w:tr>
      <w:tr>
        <w:tc>
          <w:tcPr>
            <w:tcW w:type="dxa" w:w="1728"/>
            <w:vAlign w:val="center"/>
            <w:shd w:fill="F4F7FA"/>
          </w:tcPr>
          <w:p>
            <w:pPr>
              <w:spacing w:after="0"/>
            </w:pPr>
            <w:r/>
            <w:r>
              <w:rPr>
                <w:rFonts w:ascii="Aptos" w:hAnsi="Aptos"/>
                <w:b w:val="0"/>
                <w:color w:val="1F2937"/>
                <w:sz w:val="15"/>
              </w:rPr>
              <w:t>Access control</w:t>
            </w:r>
          </w:p>
        </w:tc>
        <w:tc>
          <w:tcPr>
            <w:tcW w:type="dxa" w:w="3528"/>
            <w:vAlign w:val="center"/>
            <w:shd w:fill="F4F7FA"/>
          </w:tcPr>
          <w:p>
            <w:pPr>
              <w:spacing w:after="0"/>
            </w:pPr>
            <w:r/>
            <w:r>
              <w:rPr>
                <w:rFonts w:ascii="Aptos" w:hAnsi="Aptos"/>
                <w:b w:val="0"/>
                <w:color w:val="1F2937"/>
                <w:sz w:val="15"/>
              </w:rPr>
              <w:t>Admin-rank access false; ZDX and Web DLP read access restricted</w:t>
            </w:r>
          </w:p>
        </w:tc>
        <w:tc>
          <w:tcPr>
            <w:tcW w:type="dxa" w:w="1080"/>
            <w:vAlign w:val="center"/>
            <w:shd w:fill="F4F7FA"/>
          </w:tcPr>
          <w:p>
            <w:pPr>
              <w:spacing w:after="0"/>
            </w:pPr>
            <w:r/>
            <w:r>
              <w:rPr>
                <w:rFonts w:ascii="Aptos" w:hAnsi="Aptos"/>
                <w:b w:val="0"/>
                <w:color w:val="1F2937"/>
                <w:sz w:val="15"/>
              </w:rPr>
              <w:t>Partial</w:t>
            </w:r>
          </w:p>
        </w:tc>
        <w:tc>
          <w:tcPr>
            <w:tcW w:type="dxa" w:w="3600"/>
            <w:vAlign w:val="center"/>
            <w:shd w:fill="F4F7FA"/>
          </w:tcPr>
          <w:p>
            <w:pPr>
              <w:spacing w:after="0"/>
            </w:pPr>
            <w:r/>
            <w:r>
              <w:rPr>
                <w:rFonts w:ascii="Aptos" w:hAnsi="Aptos"/>
                <w:b w:val="0"/>
                <w:color w:val="1F2937"/>
                <w:sz w:val="15"/>
              </w:rPr>
              <w:t>Least privilege is visible, but restricted visibility creates evidence gaps.</w:t>
            </w:r>
          </w:p>
        </w:tc>
      </w:tr>
      <w:tr>
        <w:tc>
          <w:tcPr>
            <w:tcW w:type="dxa" w:w="1728"/>
            <w:vAlign w:val="center"/>
            <w:shd w:fill="FFFFFF"/>
          </w:tcPr>
          <w:p>
            <w:pPr>
              <w:spacing w:after="0"/>
            </w:pPr>
            <w:r/>
            <w:r>
              <w:rPr>
                <w:rFonts w:ascii="Aptos" w:hAnsi="Aptos"/>
                <w:b w:val="0"/>
                <w:color w:val="1F2937"/>
                <w:sz w:val="15"/>
              </w:rPr>
              <w:t>Network protection</w:t>
            </w:r>
          </w:p>
        </w:tc>
        <w:tc>
          <w:tcPr>
            <w:tcW w:type="dxa" w:w="3528"/>
            <w:vAlign w:val="center"/>
            <w:shd w:fill="FFFFFF"/>
          </w:tcPr>
          <w:p>
            <w:pPr>
              <w:spacing w:after="0"/>
            </w:pPr>
            <w:r/>
            <w:r>
              <w:rPr>
                <w:rFonts w:ascii="Aptos" w:hAnsi="Aptos"/>
                <w:b w:val="0"/>
                <w:color w:val="1F2937"/>
                <w:sz w:val="15"/>
              </w:rPr>
              <w:t>SSL, URL filtering, and cloud-firewall policies present</w:t>
            </w:r>
          </w:p>
        </w:tc>
        <w:tc>
          <w:tcPr>
            <w:tcW w:type="dxa" w:w="1080"/>
            <w:vAlign w:val="center"/>
            <w:shd w:fill="FFFFFF"/>
          </w:tcPr>
          <w:p>
            <w:pPr>
              <w:spacing w:after="0"/>
            </w:pPr>
            <w:r/>
            <w:r>
              <w:rPr>
                <w:rFonts w:ascii="Aptos" w:hAnsi="Aptos"/>
                <w:b w:val="0"/>
                <w:color w:val="1F2937"/>
                <w:sz w:val="15"/>
              </w:rPr>
              <w:t>Moderate</w:t>
            </w:r>
          </w:p>
        </w:tc>
        <w:tc>
          <w:tcPr>
            <w:tcW w:type="dxa" w:w="3600"/>
            <w:vAlign w:val="center"/>
            <w:shd w:fill="FFFFFF"/>
          </w:tcPr>
          <w:p>
            <w:pPr>
              <w:spacing w:after="0"/>
            </w:pPr>
            <w:r/>
            <w:r>
              <w:rPr>
                <w:rFonts w:ascii="Aptos" w:hAnsi="Aptos"/>
                <w:b w:val="0"/>
                <w:color w:val="1F2937"/>
                <w:sz w:val="15"/>
              </w:rPr>
              <w:t>Coverage exists; disabled rules and allow-heavy actions require exception review.</w:t>
            </w:r>
          </w:p>
        </w:tc>
      </w:tr>
      <w:tr>
        <w:tc>
          <w:tcPr>
            <w:tcW w:type="dxa" w:w="1728"/>
            <w:vAlign w:val="center"/>
            <w:shd w:fill="F4F7FA"/>
          </w:tcPr>
          <w:p>
            <w:pPr>
              <w:spacing w:after="0"/>
            </w:pPr>
            <w:r/>
            <w:r>
              <w:rPr>
                <w:rFonts w:ascii="Aptos" w:hAnsi="Aptos"/>
                <w:b w:val="0"/>
                <w:color w:val="1F2937"/>
                <w:sz w:val="15"/>
              </w:rPr>
              <w:t>Threat prevention</w:t>
            </w:r>
          </w:p>
        </w:tc>
        <w:tc>
          <w:tcPr>
            <w:tcW w:type="dxa" w:w="3528"/>
            <w:vAlign w:val="center"/>
            <w:shd w:fill="F4F7FA"/>
          </w:tcPr>
          <w:p>
            <w:pPr>
              <w:spacing w:after="0"/>
            </w:pPr>
            <w:r/>
            <w:r>
              <w:rPr>
                <w:rFonts w:ascii="Aptos" w:hAnsi="Aptos"/>
                <w:b w:val="0"/>
                <w:color w:val="1F2937"/>
                <w:sz w:val="15"/>
              </w:rPr>
              <w:t>ATP blocking enabled across many categories</w:t>
            </w:r>
          </w:p>
        </w:tc>
        <w:tc>
          <w:tcPr>
            <w:tcW w:type="dxa" w:w="1080"/>
            <w:vAlign w:val="center"/>
            <w:shd w:fill="F4F7FA"/>
          </w:tcPr>
          <w:p>
            <w:pPr>
              <w:spacing w:after="0"/>
            </w:pPr>
            <w:r/>
            <w:r>
              <w:rPr>
                <w:rFonts w:ascii="Aptos" w:hAnsi="Aptos"/>
                <w:b w:val="0"/>
                <w:color w:val="1F2937"/>
                <w:sz w:val="15"/>
              </w:rPr>
              <w:t>Moderate to strong</w:t>
            </w:r>
          </w:p>
        </w:tc>
        <w:tc>
          <w:tcPr>
            <w:tcW w:type="dxa" w:w="3600"/>
            <w:vAlign w:val="center"/>
            <w:shd w:fill="F4F7FA"/>
          </w:tcPr>
          <w:p>
            <w:pPr>
              <w:spacing w:after="0"/>
            </w:pPr>
            <w:r/>
            <w:r>
              <w:rPr>
                <w:rFonts w:ascii="Aptos" w:hAnsi="Aptos"/>
                <w:b w:val="0"/>
                <w:color w:val="1F2937"/>
                <w:sz w:val="15"/>
              </w:rPr>
              <w:t>Preventive controls are strong; capture and C2 alerting need review.</w:t>
            </w:r>
          </w:p>
        </w:tc>
      </w:tr>
      <w:tr>
        <w:tc>
          <w:tcPr>
            <w:tcW w:type="dxa" w:w="1728"/>
            <w:vAlign w:val="center"/>
            <w:shd w:fill="FFFFFF"/>
          </w:tcPr>
          <w:p>
            <w:pPr>
              <w:spacing w:after="0"/>
            </w:pPr>
            <w:r/>
            <w:r>
              <w:rPr>
                <w:rFonts w:ascii="Aptos" w:hAnsi="Aptos"/>
                <w:b w:val="0"/>
                <w:color w:val="1F2937"/>
                <w:sz w:val="15"/>
              </w:rPr>
              <w:t>Data-loss prevention</w:t>
            </w:r>
          </w:p>
        </w:tc>
        <w:tc>
          <w:tcPr>
            <w:tcW w:type="dxa" w:w="3528"/>
            <w:vAlign w:val="center"/>
            <w:shd w:fill="FFFFFF"/>
          </w:tcPr>
          <w:p>
            <w:pPr>
              <w:spacing w:after="0"/>
            </w:pPr>
            <w:r/>
            <w:r>
              <w:rPr>
                <w:rFonts w:ascii="Aptos" w:hAnsi="Aptos"/>
                <w:b w:val="0"/>
                <w:color w:val="1F2937"/>
                <w:sz w:val="15"/>
              </w:rPr>
              <w:t>Web DLP unavailable: RBA_LIMITED</w:t>
            </w:r>
          </w:p>
        </w:tc>
        <w:tc>
          <w:tcPr>
            <w:tcW w:type="dxa" w:w="1080"/>
            <w:vAlign w:val="center"/>
            <w:shd w:fill="FFFFFF"/>
          </w:tcPr>
          <w:p>
            <w:pPr>
              <w:spacing w:after="0"/>
            </w:pPr>
            <w:r/>
            <w:r>
              <w:rPr>
                <w:rFonts w:ascii="Aptos" w:hAnsi="Aptos"/>
                <w:b w:val="0"/>
                <w:color w:val="1F2937"/>
                <w:sz w:val="15"/>
              </w:rPr>
              <w:t>Insufficient evidence</w:t>
            </w:r>
          </w:p>
        </w:tc>
        <w:tc>
          <w:tcPr>
            <w:tcW w:type="dxa" w:w="3600"/>
            <w:vAlign w:val="center"/>
            <w:shd w:fill="FFFFFF"/>
          </w:tcPr>
          <w:p>
            <w:pPr>
              <w:spacing w:after="0"/>
            </w:pPr>
            <w:r/>
            <w:r>
              <w:rPr>
                <w:rFonts w:ascii="Aptos" w:hAnsi="Aptos"/>
                <w:b w:val="0"/>
                <w:color w:val="1F2937"/>
                <w:sz w:val="15"/>
              </w:rPr>
              <w:t>Cannot validate DLP compliance from the current API role.</w:t>
            </w:r>
          </w:p>
        </w:tc>
      </w:tr>
      <w:tr>
        <w:tc>
          <w:tcPr>
            <w:tcW w:type="dxa" w:w="1728"/>
            <w:vAlign w:val="center"/>
            <w:shd w:fill="F4F7FA"/>
          </w:tcPr>
          <w:p>
            <w:pPr>
              <w:spacing w:after="0"/>
            </w:pPr>
            <w:r/>
            <w:r>
              <w:rPr>
                <w:rFonts w:ascii="Aptos" w:hAnsi="Aptos"/>
                <w:b w:val="0"/>
                <w:color w:val="1F2937"/>
                <w:sz w:val="15"/>
              </w:rPr>
              <w:t>Monitoring and detection</w:t>
            </w:r>
          </w:p>
        </w:tc>
        <w:tc>
          <w:tcPr>
            <w:tcW w:type="dxa" w:w="3528"/>
            <w:vAlign w:val="center"/>
            <w:shd w:fill="F4F7FA"/>
          </w:tcPr>
          <w:p>
            <w:pPr>
              <w:spacing w:after="0"/>
            </w:pPr>
            <w:r/>
            <w:r>
              <w:rPr>
                <w:rFonts w:ascii="Aptos" w:hAnsi="Aptos"/>
                <w:b w:val="0"/>
                <w:color w:val="1F2937"/>
                <w:sz w:val="15"/>
              </w:rPr>
              <w:t>3.1M aggregate cyber events; ZDX unavailable</w:t>
            </w:r>
          </w:p>
        </w:tc>
        <w:tc>
          <w:tcPr>
            <w:tcW w:type="dxa" w:w="1080"/>
            <w:vAlign w:val="center"/>
            <w:shd w:fill="F4F7FA"/>
          </w:tcPr>
          <w:p>
            <w:pPr>
              <w:spacing w:after="0"/>
            </w:pPr>
            <w:r/>
            <w:r>
              <w:rPr>
                <w:rFonts w:ascii="Aptos" w:hAnsi="Aptos"/>
                <w:b w:val="0"/>
                <w:color w:val="1F2937"/>
                <w:sz w:val="15"/>
              </w:rPr>
              <w:t>Partial</w:t>
            </w:r>
          </w:p>
        </w:tc>
        <w:tc>
          <w:tcPr>
            <w:tcW w:type="dxa" w:w="3600"/>
            <w:vAlign w:val="center"/>
            <w:shd w:fill="F4F7FA"/>
          </w:tcPr>
          <w:p>
            <w:pPr>
              <w:spacing w:after="0"/>
            </w:pPr>
            <w:r/>
            <w:r>
              <w:rPr>
                <w:rFonts w:ascii="Aptos" w:hAnsi="Aptos"/>
                <w:b w:val="0"/>
                <w:color w:val="1F2937"/>
                <w:sz w:val="15"/>
              </w:rPr>
              <w:t>High volume and blind spots require reconciliation and ownership.</w:t>
            </w:r>
          </w:p>
        </w:tc>
      </w:tr>
      <w:tr>
        <w:tc>
          <w:tcPr>
            <w:tcW w:type="dxa" w:w="1728"/>
            <w:vAlign w:val="center"/>
            <w:shd w:fill="FFFFFF"/>
          </w:tcPr>
          <w:p>
            <w:pPr>
              <w:spacing w:after="0"/>
            </w:pPr>
            <w:r/>
            <w:r>
              <w:rPr>
                <w:rFonts w:ascii="Aptos" w:hAnsi="Aptos"/>
                <w:b w:val="0"/>
                <w:color w:val="1F2937"/>
                <w:sz w:val="15"/>
              </w:rPr>
              <w:t>Endpoint governance</w:t>
            </w:r>
          </w:p>
        </w:tc>
        <w:tc>
          <w:tcPr>
            <w:tcW w:type="dxa" w:w="3528"/>
            <w:vAlign w:val="center"/>
            <w:shd w:fill="FFFFFF"/>
          </w:tcPr>
          <w:p>
            <w:pPr>
              <w:spacing w:after="0"/>
            </w:pPr>
            <w:r/>
            <w:r>
              <w:rPr>
                <w:rFonts w:ascii="Aptos" w:hAnsi="Aptos"/>
                <w:b w:val="0"/>
                <w:color w:val="1F2937"/>
                <w:sz w:val="15"/>
              </w:rPr>
              <w:t>50 ZCC devices; zero trusted networks returned</w:t>
            </w:r>
          </w:p>
        </w:tc>
        <w:tc>
          <w:tcPr>
            <w:tcW w:type="dxa" w:w="1080"/>
            <w:vAlign w:val="center"/>
            <w:shd w:fill="FFFFFF"/>
          </w:tcPr>
          <w:p>
            <w:pPr>
              <w:spacing w:after="0"/>
            </w:pPr>
            <w:r/>
            <w:r>
              <w:rPr>
                <w:rFonts w:ascii="Aptos" w:hAnsi="Aptos"/>
                <w:b w:val="0"/>
                <w:color w:val="1F2937"/>
                <w:sz w:val="15"/>
              </w:rPr>
              <w:t>Partial</w:t>
            </w:r>
          </w:p>
        </w:tc>
        <w:tc>
          <w:tcPr>
            <w:tcW w:type="dxa" w:w="3600"/>
            <w:vAlign w:val="center"/>
            <w:shd w:fill="FFFFFF"/>
          </w:tcPr>
          <w:p>
            <w:pPr>
              <w:spacing w:after="0"/>
            </w:pPr>
            <w:r/>
            <w:r>
              <w:rPr>
                <w:rFonts w:ascii="Aptos" w:hAnsi="Aptos"/>
                <w:b w:val="0"/>
                <w:color w:val="1F2937"/>
                <w:sz w:val="15"/>
              </w:rPr>
              <w:t>Inventory is visible; network-trust posture needs confirmation.</w:t>
            </w:r>
          </w:p>
        </w:tc>
      </w:tr>
      <w:tr>
        <w:tc>
          <w:tcPr>
            <w:tcW w:type="dxa" w:w="1728"/>
            <w:vAlign w:val="center"/>
            <w:shd w:fill="F4F7FA"/>
          </w:tcPr>
          <w:p>
            <w:pPr>
              <w:spacing w:after="0"/>
            </w:pPr>
            <w:r/>
            <w:r>
              <w:rPr>
                <w:rFonts w:ascii="Aptos" w:hAnsi="Aptos"/>
                <w:b w:val="0"/>
                <w:color w:val="1F2937"/>
                <w:sz w:val="15"/>
              </w:rPr>
              <w:t>Auditability</w:t>
            </w:r>
          </w:p>
        </w:tc>
        <w:tc>
          <w:tcPr>
            <w:tcW w:type="dxa" w:w="3528"/>
            <w:vAlign w:val="center"/>
            <w:shd w:fill="F4F7FA"/>
          </w:tcPr>
          <w:p>
            <w:pPr>
              <w:spacing w:after="0"/>
            </w:pPr>
            <w:r/>
            <w:r>
              <w:rPr>
                <w:rFonts w:ascii="Aptos" w:hAnsi="Aptos"/>
                <w:b w:val="0"/>
                <w:color w:val="1F2937"/>
                <w:sz w:val="15"/>
              </w:rPr>
              <w:t>MCP audit capability documented, but production enforcement not verified</w:t>
            </w:r>
          </w:p>
        </w:tc>
        <w:tc>
          <w:tcPr>
            <w:tcW w:type="dxa" w:w="1080"/>
            <w:vAlign w:val="center"/>
            <w:shd w:fill="F4F7FA"/>
          </w:tcPr>
          <w:p>
            <w:pPr>
              <w:spacing w:after="0"/>
            </w:pPr>
            <w:r/>
            <w:r>
              <w:rPr>
                <w:rFonts w:ascii="Aptos" w:hAnsi="Aptos"/>
                <w:b w:val="0"/>
                <w:color w:val="1F2937"/>
                <w:sz w:val="15"/>
              </w:rPr>
              <w:t>Partial</w:t>
            </w:r>
          </w:p>
        </w:tc>
        <w:tc>
          <w:tcPr>
            <w:tcW w:type="dxa" w:w="3600"/>
            <w:vAlign w:val="center"/>
            <w:shd w:fill="F4F7FA"/>
          </w:tcPr>
          <w:p>
            <w:pPr>
              <w:spacing w:after="0"/>
            </w:pPr>
            <w:r/>
            <w:r>
              <w:rPr>
                <w:rFonts w:ascii="Aptos" w:hAnsi="Aptos"/>
                <w:b w:val="0"/>
                <w:color w:val="1F2937"/>
                <w:sz w:val="15"/>
              </w:rPr>
              <w:t>Define retention, immutability, and review responsibilities.</w:t>
            </w:r>
          </w:p>
        </w:tc>
      </w:tr>
      <w:tr>
        <w:tc>
          <w:tcPr>
            <w:tcW w:type="dxa" w:w="1728"/>
            <w:vAlign w:val="center"/>
            <w:shd w:fill="FFFFFF"/>
          </w:tcPr>
          <w:p>
            <w:pPr>
              <w:spacing w:after="0"/>
            </w:pPr>
            <w:r/>
            <w:r>
              <w:rPr>
                <w:rFonts w:ascii="Aptos" w:hAnsi="Aptos"/>
                <w:b w:val="0"/>
                <w:color w:val="1F2937"/>
                <w:sz w:val="15"/>
              </w:rPr>
              <w:t>Secrets management</w:t>
            </w:r>
          </w:p>
        </w:tc>
        <w:tc>
          <w:tcPr>
            <w:tcW w:type="dxa" w:w="3528"/>
            <w:vAlign w:val="center"/>
            <w:shd w:fill="FFFFFF"/>
          </w:tcPr>
          <w:p>
            <w:pPr>
              <w:spacing w:after="0"/>
            </w:pPr>
            <w:r/>
            <w:r>
              <w:rPr>
                <w:rFonts w:ascii="Aptos" w:hAnsi="Aptos"/>
                <w:b w:val="0"/>
                <w:color w:val="1F2937"/>
                <w:sz w:val="15"/>
              </w:rPr>
              <w:t>Local .env contains credential keys with mode 0666</w:t>
            </w:r>
          </w:p>
        </w:tc>
        <w:tc>
          <w:tcPr>
            <w:tcW w:type="dxa" w:w="1080"/>
            <w:vAlign w:val="center"/>
            <w:shd w:fill="FFFFFF"/>
          </w:tcPr>
          <w:p>
            <w:pPr>
              <w:spacing w:after="0"/>
            </w:pPr>
            <w:r/>
            <w:r>
              <w:rPr>
                <w:rFonts w:ascii="Aptos" w:hAnsi="Aptos"/>
                <w:b w:val="0"/>
                <w:color w:val="1F2937"/>
                <w:sz w:val="15"/>
              </w:rPr>
              <w:t>Weak</w:t>
            </w:r>
          </w:p>
        </w:tc>
        <w:tc>
          <w:tcPr>
            <w:tcW w:type="dxa" w:w="3600"/>
            <w:vAlign w:val="center"/>
            <w:shd w:fill="FFFFFF"/>
          </w:tcPr>
          <w:p>
            <w:pPr>
              <w:spacing w:after="0"/>
            </w:pPr>
            <w:r/>
            <w:r>
              <w:rPr>
                <w:rFonts w:ascii="Aptos" w:hAnsi="Aptos"/>
                <w:b w:val="0"/>
                <w:color w:val="1F2937"/>
                <w:sz w:val="15"/>
              </w:rPr>
              <w:t>Immediate local credential remediation is required.</w:t>
            </w:r>
          </w:p>
        </w:tc>
      </w:tr>
    </w:tbl>
    <w:p>
      <w:pPr>
        <w:spacing w:after="20"/>
      </w:pPr>
    </w:p>
    <w:p>
      <w:pPr>
        <w:spacing w:after="100"/>
      </w:pPr>
      <w:r>
        <w:t>The observed posture is directionally aligned with NIST CSF 2.0, NIST SP 800-53, NIST SSDF, SOC 2 Trust Services Criteria, ISO/IEC 27001, and CIS Controls. This directional alignment is not a certification or audit opinion.</w:t>
      </w:r>
    </w:p>
    <w:p>
      <w:pPr>
        <w:pStyle w:val="Heading1"/>
      </w:pPr>
      <w:r>
        <w:t>6. Executive Action Plan</w:t>
      </w:r>
    </w:p>
    <w:p>
      <w:pPr>
        <w:pStyle w:val="Heading2"/>
      </w:pPr>
      <w:r>
        <w:t>Immediate: 0–7 days</w:t>
      </w:r>
    </w:p>
    <w:p>
      <w:pPr>
        <w:pStyle w:val="ListBullet"/>
        <w:spacing w:after="40"/>
      </w:pPr>
      <w:r>
        <w:t>Set .env permissions to 0600 and rotate the Zscaler client secret if exposure cannot be ruled out.</w:t>
      </w:r>
    </w:p>
    <w:p>
      <w:pPr>
        <w:pStyle w:val="ListBullet"/>
        <w:spacing w:after="40"/>
      </w:pPr>
      <w:r>
        <w:t>Have SOC validate the 3,125,239-event aggregate: severity, category, top sources, aging, and closure.</w:t>
      </w:r>
    </w:p>
    <w:p>
      <w:pPr>
        <w:pStyle w:val="ListBullet"/>
        <w:spacing w:after="40"/>
      </w:pPr>
      <w:r>
        <w:t>Confirm whether zero trusted networks and zero shadow-IT rows are intentional or a data-scope issue.</w:t>
      </w:r>
    </w:p>
    <w:p>
      <w:pPr>
        <w:pStyle w:val="Heading2"/>
      </w:pPr>
      <w:r>
        <w:t>Near term: 8–30 days</w:t>
      </w:r>
    </w:p>
    <w:p>
      <w:pPr>
        <w:pStyle w:val="ListBullet"/>
        <w:spacing w:after="40"/>
      </w:pPr>
      <w:r>
        <w:t>Grant or document least-privilege read access for ZDX and Web DLP.</w:t>
      </w:r>
    </w:p>
    <w:p>
      <w:pPr>
        <w:pStyle w:val="ListBullet"/>
        <w:spacing w:after="40"/>
      </w:pPr>
      <w:r>
        <w:t>Review every disabled SSL, URL-filtering, and firewall rule and record owner, rationale, expiry, and compensating control.</w:t>
      </w:r>
    </w:p>
    <w:p>
      <w:pPr>
        <w:pStyle w:val="ListBullet"/>
        <w:spacing w:after="40"/>
      </w:pPr>
      <w:r>
        <w:t>Review bypass lists and unauthenticated-traffic handling.</w:t>
      </w:r>
    </w:p>
    <w:p>
      <w:pPr>
        <w:pStyle w:val="ListBullet"/>
        <w:spacing w:after="40"/>
      </w:pPr>
      <w:r>
        <w:t>Verify C2 alerting, capture, SIEM forwarding, and incident-response workflows.</w:t>
      </w:r>
    </w:p>
    <w:p>
      <w:pPr>
        <w:pStyle w:val="Heading2"/>
      </w:pPr>
      <w:r>
        <w:t>Medium term: 31–90 days</w:t>
      </w:r>
    </w:p>
    <w:p>
      <w:pPr>
        <w:pStyle w:val="ListBullet"/>
        <w:spacing w:after="40"/>
      </w:pPr>
      <w:r>
        <w:t>Make MCP tool-call audit logging mandatory for production.</w:t>
      </w:r>
    </w:p>
    <w:p>
      <w:pPr>
        <w:pStyle w:val="ListBullet"/>
        <w:spacing w:after="40"/>
      </w:pPr>
      <w:r>
        <w:t>Establish quarterly access, policy-exception, and write-allowlist recertification.</w:t>
      </w:r>
    </w:p>
    <w:p>
      <w:pPr>
        <w:pStyle w:val="ListBullet"/>
        <w:spacing w:after="40"/>
      </w:pPr>
      <w:r>
        <w:t>Reconcile Zscaler API results with console and SIEM evidence.</w:t>
      </w:r>
    </w:p>
    <w:p>
      <w:pPr>
        <w:pStyle w:val="ListBullet"/>
        <w:spacing w:after="40"/>
      </w:pPr>
      <w:r>
        <w:t>Document RTO/RPO, retention, backup, restoration, and incident tabletop exercises.</w:t>
      </w:r>
    </w:p>
    <w:p>
      <w:pPr>
        <w:pStyle w:val="Heading1"/>
      </w:pPr>
      <w:r>
        <w:t>7. Production Recommendation</w:t>
      </w:r>
    </w:p>
    <w:p>
      <w:pPr>
        <w:pStyle w:val="Callout"/>
        <w:spacing w:after="100"/>
      </w:pPr>
      <w:r>
        <w:t>CONDITIONAL GO FOR CONTROLLED READ-ONLY USE; NO UNRESTRICTED WRITE-ENABLED APPROVAL</w:t>
      </w:r>
    </w:p>
    <w:p>
      <w:pPr>
        <w:spacing w:after="100"/>
      </w:pPr>
      <w:r>
        <w:t>The environment can continue controlled read-only investigation and reporting. Executive approval for unrestricted administrative writes should wait until the high-severity findings are closed or formally risk-accepted by the accountable security and platform owners.</w:t>
      </w:r>
    </w:p>
    <w:tbl>
      <w:tblPr>
        <w:tblW w:type="auto" w:w="0"/>
        <w:jc w:val="center"/>
        <w:tblLayout w:type="fixed"/>
        <w:tblLook w:firstColumn="1" w:firstRow="1" w:lastColumn="0" w:lastRow="0" w:noHBand="0" w:noVBand="1" w:val="04A0"/>
      </w:tblPr>
      <w:tblGrid>
        <w:gridCol w:w="5040"/>
        <w:gridCol w:w="5040"/>
      </w:tblGrid>
      <w:tr>
        <w:tc>
          <w:tcPr>
            <w:tcW w:type="dxa" w:w="2088"/>
            <w:vAlign w:val="center"/>
            <w:shd w:fill="17365D"/>
          </w:tcPr>
          <w:p>
            <w:pPr>
              <w:spacing w:after="0"/>
            </w:pPr>
            <w:r/>
            <w:r>
              <w:rPr>
                <w:rFonts w:ascii="Aptos" w:hAnsi="Aptos"/>
                <w:b/>
                <w:color w:val="FFFFFF"/>
                <w:sz w:val="15"/>
              </w:rPr>
              <w:t>Release gate</w:t>
            </w:r>
          </w:p>
        </w:tc>
        <w:tc>
          <w:tcPr>
            <w:tcW w:type="dxa" w:w="7776"/>
            <w:vAlign w:val="center"/>
            <w:shd w:fill="17365D"/>
          </w:tcPr>
          <w:p>
            <w:pPr>
              <w:spacing w:after="0"/>
            </w:pPr>
            <w:r/>
            <w:r>
              <w:rPr>
                <w:rFonts w:ascii="Aptos" w:hAnsi="Aptos"/>
                <w:b/>
                <w:color w:val="FFFFFF"/>
                <w:sz w:val="15"/>
              </w:rPr>
              <w:t>Required evidence</w:t>
            </w:r>
          </w:p>
        </w:tc>
      </w:tr>
      <w:tr>
        <w:tc>
          <w:tcPr>
            <w:tcW w:type="dxa" w:w="2088"/>
            <w:vAlign w:val="center"/>
            <w:shd w:fill="F4F7FA"/>
          </w:tcPr>
          <w:p>
            <w:pPr>
              <w:spacing w:after="0"/>
            </w:pPr>
            <w:r/>
            <w:r>
              <w:rPr>
                <w:rFonts w:ascii="Aptos" w:hAnsi="Aptos"/>
                <w:b w:val="0"/>
                <w:color w:val="1F2937"/>
                <w:sz w:val="15"/>
              </w:rPr>
              <w:t>Identity and access</w:t>
            </w:r>
          </w:p>
        </w:tc>
        <w:tc>
          <w:tcPr>
            <w:tcW w:type="dxa" w:w="7776"/>
            <w:vAlign w:val="center"/>
            <w:shd w:fill="F4F7FA"/>
          </w:tcPr>
          <w:p>
            <w:pPr>
              <w:spacing w:after="0"/>
            </w:pPr>
            <w:r/>
            <w:r>
              <w:rPr>
                <w:rFonts w:ascii="Aptos" w:hAnsi="Aptos"/>
                <w:b w:val="0"/>
                <w:color w:val="1F2937"/>
                <w:sz w:val="15"/>
              </w:rPr>
              <w:t>Verified least-privilege roles for ZIA, ZINS, ZCC, ZDX, and Web DLP; documented compensating controls for restricted scopes.</w:t>
            </w:r>
          </w:p>
        </w:tc>
      </w:tr>
      <w:tr>
        <w:tc>
          <w:tcPr>
            <w:tcW w:type="dxa" w:w="2088"/>
            <w:vAlign w:val="center"/>
            <w:shd w:fill="FFFFFF"/>
          </w:tcPr>
          <w:p>
            <w:pPr>
              <w:spacing w:after="0"/>
            </w:pPr>
            <w:r/>
            <w:r>
              <w:rPr>
                <w:rFonts w:ascii="Aptos" w:hAnsi="Aptos"/>
                <w:b w:val="0"/>
                <w:color w:val="1F2937"/>
                <w:sz w:val="15"/>
              </w:rPr>
              <w:t>Threat operations</w:t>
            </w:r>
          </w:p>
        </w:tc>
        <w:tc>
          <w:tcPr>
            <w:tcW w:type="dxa" w:w="7776"/>
            <w:vAlign w:val="center"/>
            <w:shd w:fill="FFFFFF"/>
          </w:tcPr>
          <w:p>
            <w:pPr>
              <w:spacing w:after="0"/>
            </w:pPr>
            <w:r/>
            <w:r>
              <w:rPr>
                <w:rFonts w:ascii="Aptos" w:hAnsi="Aptos"/>
                <w:b w:val="0"/>
                <w:color w:val="1F2937"/>
                <w:sz w:val="15"/>
              </w:rPr>
              <w:t>Incident-volume reconciliation, ownership, severity, aging, and closure metrics.</w:t>
            </w:r>
          </w:p>
        </w:tc>
      </w:tr>
      <w:tr>
        <w:tc>
          <w:tcPr>
            <w:tcW w:type="dxa" w:w="2088"/>
            <w:vAlign w:val="center"/>
            <w:shd w:fill="F4F7FA"/>
          </w:tcPr>
          <w:p>
            <w:pPr>
              <w:spacing w:after="0"/>
            </w:pPr>
            <w:r/>
            <w:r>
              <w:rPr>
                <w:rFonts w:ascii="Aptos" w:hAnsi="Aptos"/>
                <w:b w:val="0"/>
                <w:color w:val="1F2937"/>
                <w:sz w:val="15"/>
              </w:rPr>
              <w:t>Policy governance</w:t>
            </w:r>
          </w:p>
        </w:tc>
        <w:tc>
          <w:tcPr>
            <w:tcW w:type="dxa" w:w="7776"/>
            <w:vAlign w:val="center"/>
            <w:shd w:fill="F4F7FA"/>
          </w:tcPr>
          <w:p>
            <w:pPr>
              <w:spacing w:after="0"/>
            </w:pPr>
            <w:r/>
            <w:r>
              <w:rPr>
                <w:rFonts w:ascii="Aptos" w:hAnsi="Aptos"/>
                <w:b w:val="0"/>
                <w:color w:val="1F2937"/>
                <w:sz w:val="15"/>
              </w:rPr>
              <w:t>Approved exception register for disabled rules, bypasses, allow-heavy policies, and unauthenticated traffic.</w:t>
            </w:r>
          </w:p>
        </w:tc>
      </w:tr>
      <w:tr>
        <w:tc>
          <w:tcPr>
            <w:tcW w:type="dxa" w:w="2088"/>
            <w:vAlign w:val="center"/>
            <w:shd w:fill="FFFFFF"/>
          </w:tcPr>
          <w:p>
            <w:pPr>
              <w:spacing w:after="0"/>
            </w:pPr>
            <w:r/>
            <w:r>
              <w:rPr>
                <w:rFonts w:ascii="Aptos" w:hAnsi="Aptos"/>
                <w:b w:val="0"/>
                <w:color w:val="1F2937"/>
                <w:sz w:val="15"/>
              </w:rPr>
              <w:t>Data protection</w:t>
            </w:r>
          </w:p>
        </w:tc>
        <w:tc>
          <w:tcPr>
            <w:tcW w:type="dxa" w:w="7776"/>
            <w:vAlign w:val="center"/>
            <w:shd w:fill="FFFFFF"/>
          </w:tcPr>
          <w:p>
            <w:pPr>
              <w:spacing w:after="0"/>
            </w:pPr>
            <w:r/>
            <w:r>
              <w:rPr>
                <w:rFonts w:ascii="Aptos" w:hAnsi="Aptos"/>
                <w:b w:val="0"/>
                <w:color w:val="1F2937"/>
                <w:sz w:val="15"/>
              </w:rPr>
              <w:t>Web DLP posture validated and evidence retained.</w:t>
            </w:r>
          </w:p>
        </w:tc>
      </w:tr>
      <w:tr>
        <w:tc>
          <w:tcPr>
            <w:tcW w:type="dxa" w:w="2088"/>
            <w:vAlign w:val="center"/>
            <w:shd w:fill="F4F7FA"/>
          </w:tcPr>
          <w:p>
            <w:pPr>
              <w:spacing w:after="0"/>
            </w:pPr>
            <w:r/>
            <w:r>
              <w:rPr>
                <w:rFonts w:ascii="Aptos" w:hAnsi="Aptos"/>
                <w:b w:val="0"/>
                <w:color w:val="1F2937"/>
                <w:sz w:val="15"/>
              </w:rPr>
              <w:t>Secrets</w:t>
            </w:r>
          </w:p>
        </w:tc>
        <w:tc>
          <w:tcPr>
            <w:tcW w:type="dxa" w:w="7776"/>
            <w:vAlign w:val="center"/>
            <w:shd w:fill="F4F7FA"/>
          </w:tcPr>
          <w:p>
            <w:pPr>
              <w:spacing w:after="0"/>
            </w:pPr>
            <w:r/>
            <w:r>
              <w:rPr>
                <w:rFonts w:ascii="Aptos" w:hAnsi="Aptos"/>
                <w:b w:val="0"/>
                <w:color w:val="1F2937"/>
                <w:sz w:val="15"/>
              </w:rPr>
              <w:t>Secret manager or 0600 local development handling; rotation evidence.</w:t>
            </w:r>
          </w:p>
        </w:tc>
      </w:tr>
      <w:tr>
        <w:tc>
          <w:tcPr>
            <w:tcW w:type="dxa" w:w="2088"/>
            <w:vAlign w:val="center"/>
            <w:shd w:fill="FFFFFF"/>
          </w:tcPr>
          <w:p>
            <w:pPr>
              <w:spacing w:after="0"/>
            </w:pPr>
            <w:r/>
            <w:r>
              <w:rPr>
                <w:rFonts w:ascii="Aptos" w:hAnsi="Aptos"/>
                <w:b w:val="0"/>
                <w:color w:val="1F2937"/>
                <w:sz w:val="15"/>
              </w:rPr>
              <w:t>Audit</w:t>
            </w:r>
          </w:p>
        </w:tc>
        <w:tc>
          <w:tcPr>
            <w:tcW w:type="dxa" w:w="7776"/>
            <w:vAlign w:val="center"/>
            <w:shd w:fill="FFFFFF"/>
          </w:tcPr>
          <w:p>
            <w:pPr>
              <w:spacing w:after="0"/>
            </w:pPr>
            <w:r/>
            <w:r>
              <w:rPr>
                <w:rFonts w:ascii="Aptos" w:hAnsi="Aptos"/>
                <w:b w:val="0"/>
                <w:color w:val="1F2937"/>
                <w:sz w:val="15"/>
              </w:rPr>
              <w:t>Centralized, redacted, immutable audit logs with retention and review.</w:t>
            </w:r>
          </w:p>
        </w:tc>
      </w:tr>
    </w:tbl>
    <w:p>
      <w:pPr>
        <w:spacing w:after="20"/>
      </w:pPr>
    </w:p>
    <w:p>
      <w:pPr>
        <w:pStyle w:val="Heading1"/>
      </w:pPr>
      <w:r>
        <w:t>Appendix A — MCP Evidence Collected</w:t>
      </w:r>
    </w:p>
    <w:p>
      <w:pPr>
        <w:pStyle w:val="ListBullet"/>
        <w:spacing w:after="40"/>
      </w:pPr>
      <w:r>
        <w:t>zia_get_activation_status — ACTIVE</w:t>
      </w:r>
    </w:p>
    <w:p>
      <w:pPr>
        <w:pStyle w:val="ListBullet"/>
        <w:spacing w:after="40"/>
      </w:pPr>
      <w:r>
        <w:t>zia_get_advanced_settings — advanced policy and bypass settings</w:t>
      </w:r>
    </w:p>
    <w:p>
      <w:pPr>
        <w:pStyle w:val="ListBullet"/>
        <w:spacing w:after="40"/>
      </w:pPr>
      <w:r>
        <w:t>zia_get_atp_settings — threat-prevention settings</w:t>
      </w:r>
    </w:p>
    <w:p>
      <w:pPr>
        <w:pStyle w:val="ListBullet"/>
        <w:spacing w:after="40"/>
      </w:pPr>
      <w:r>
        <w:t>zia_list_ssl_inspection_rules — 16 records</w:t>
      </w:r>
    </w:p>
    <w:p>
      <w:pPr>
        <w:pStyle w:val="ListBullet"/>
        <w:spacing w:after="40"/>
      </w:pPr>
      <w:r>
        <w:t>zia_list_url_filtering_rules — 69 records</w:t>
      </w:r>
    </w:p>
    <w:p>
      <w:pPr>
        <w:pStyle w:val="ListBullet"/>
        <w:spacing w:after="40"/>
      </w:pPr>
      <w:r>
        <w:t>zia_list_cloud_firewall_rules — 7 records</w:t>
      </w:r>
    </w:p>
    <w:p>
      <w:pPr>
        <w:pStyle w:val="ListBullet"/>
        <w:spacing w:after="40"/>
      </w:pPr>
      <w:r>
        <w:t>zia_list_locations — 6 records</w:t>
      </w:r>
    </w:p>
    <w:p>
      <w:pPr>
        <w:pStyle w:val="ListBullet"/>
        <w:spacing w:after="40"/>
      </w:pPr>
      <w:r>
        <w:t>zins_get_cyber_incidents — 13 aggregate records for selected 30-day window</w:t>
      </w:r>
    </w:p>
    <w:p>
      <w:pPr>
        <w:pStyle w:val="ListBullet"/>
        <w:spacing w:after="40"/>
      </w:pPr>
      <w:r>
        <w:t>zins_get_cyber_incidents_daily — no rows returned for selected window</w:t>
      </w:r>
    </w:p>
    <w:p>
      <w:pPr>
        <w:pStyle w:val="ListBullet"/>
        <w:spacing w:after="40"/>
      </w:pPr>
      <w:r>
        <w:t>zins_get_shadow_it_summary — zero applications / zero bytes returned</w:t>
      </w:r>
    </w:p>
    <w:p>
      <w:pPr>
        <w:pStyle w:val="ListBullet"/>
        <w:spacing w:after="40"/>
      </w:pPr>
      <w:r>
        <w:t>zcc_list_devices — 50 records returned</w:t>
      </w:r>
    </w:p>
    <w:p>
      <w:pPr>
        <w:pStyle w:val="ListBullet"/>
        <w:spacing w:after="40"/>
      </w:pPr>
      <w:r>
        <w:t>zcc_list_trusted_networks — zero records returned</w:t>
      </w:r>
    </w:p>
    <w:p>
      <w:pPr>
        <w:pStyle w:val="ListBullet"/>
        <w:spacing w:after="40"/>
      </w:pPr>
      <w:r>
        <w:t>zdx_list_alerts — HTTP 403 Not Authorized</w:t>
      </w:r>
    </w:p>
    <w:p>
      <w:pPr>
        <w:pStyle w:val="ListBullet"/>
        <w:spacing w:after="40"/>
      </w:pPr>
      <w:r>
        <w:t>zdx_list_applications — HTTP 403 Not Authorized</w:t>
      </w:r>
    </w:p>
    <w:p>
      <w:pPr>
        <w:pStyle w:val="ListBullet"/>
        <w:spacing w:after="40"/>
      </w:pPr>
      <w:r>
        <w:t>zia_list_web_dlp_rules — HTTP 403 RBA_LIMITED; Inline DLP scope required</w:t>
      </w:r>
    </w:p>
    <w:p>
      <w:pPr>
        <w:spacing w:after="100"/>
      </w:pPr>
      <w:r>
        <w:t>Only aggregate, non-identifying results are included. Device, user, location, rule-name, URL, IP, and tenant-identifying details were intentionally excluded.</w:t>
      </w:r>
    </w:p>
    <w:p>
      <w:pPr>
        <w:pStyle w:val="Heading1"/>
      </w:pPr>
      <w:r>
        <w:t>Appendix B — Assessment Limitations</w:t>
      </w:r>
    </w:p>
    <w:p>
      <w:pPr>
        <w:pStyle w:val="ListBullet"/>
        <w:spacing w:after="40"/>
      </w:pPr>
      <w:r>
        <w:t>The assessment was read-only and did not modify tenant state.</w:t>
      </w:r>
    </w:p>
    <w:p>
      <w:pPr>
        <w:pStyle w:val="ListBullet"/>
        <w:spacing w:after="40"/>
      </w:pPr>
      <w:r>
        <w:t>The report reflects the permissions and entitlements of the configured MCP API identity, not necessarily the full tenant posture.</w:t>
      </w:r>
    </w:p>
    <w:p>
      <w:pPr>
        <w:pStyle w:val="ListBullet"/>
        <w:spacing w:after="40"/>
      </w:pPr>
      <w:r>
        <w:t>A 403 response indicates lack of access or scope for the current identity; it does not prove that the underlying Zscaler capability is disabled.</w:t>
      </w:r>
    </w:p>
    <w:p>
      <w:pPr>
        <w:pStyle w:val="ListBullet"/>
        <w:spacing w:after="40"/>
      </w:pPr>
      <w:r>
        <w:t>Zero rows may reflect no configured objects, query semantics, data latency, or insufficient scope.</w:t>
      </w:r>
    </w:p>
    <w:p>
      <w:pPr>
        <w:pStyle w:val="ListBullet"/>
        <w:spacing w:after="40"/>
      </w:pPr>
      <w:r>
        <w:t>This is not a formal audit, penetration test, certification, or legal compliance opinion.</w:t>
      </w:r>
    </w:p>
    <w:p>
      <w:pPr>
        <w:pStyle w:val="ListBullet"/>
        <w:spacing w:after="40"/>
      </w:pPr>
      <w:r>
        <w:t>Local repository controls and the local .env permission issue remain in scope because they affect the security of the MCP operating environment.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 xml:space="preserve">CONFIDENTIAL – INTERNAL USE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5"/>
      </w:rPr>
      <w:t>ZSCALER MCP SERVER  |  LIVE GRC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Compliance &amp; Risk Report – Zscaler MCP Live Tenant Assessment</dc:title>
  <dc:subject>Executive live tenant assessment</dc:subject>
  <dc:creator>AI assistant using Copilot SDK in VS Code</dc:creator>
  <cp:keywords>GRC, Zscaler, MCP, compliance, risk, live assessment</cp:keywords>
  <dc:description>generated by python-docx</dc:description>
  <cp:lastModifiedBy/>
  <cp:revision>1</cp:revision>
  <dcterms:created xsi:type="dcterms:W3CDTF">2013-12-23T23:15:00Z</dcterms:created>
  <dcterms:modified xsi:type="dcterms:W3CDTF">2013-12-23T23:15:00Z</dcterms:modified>
  <cp:category/>
</cp:coreProperties>
</file>