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Aptos Display" w:hAnsi="Aptos Display"/>
          <w:b/>
          <w:color w:val="17365D"/>
          <w:sz w:val="70"/>
        </w:rPr>
        <w:t>GOVERNANCE, RISK</w:t>
        <w:br/>
        <w:t>&amp; COMPLIANCE</w:t>
      </w:r>
    </w:p>
    <w:p>
      <w:pPr>
        <w:spacing w:before="160"/>
      </w:pPr>
      <w:r>
        <w:rPr>
          <w:b/>
          <w:color w:val="2F75B5"/>
          <w:sz w:val="42"/>
        </w:rPr>
        <w:t>Zscaler MCP Server Environment</w:t>
      </w:r>
    </w:p>
    <w:p>
      <w:pPr>
        <w:spacing w:before="560"/>
      </w:pPr>
      <w:r>
        <w:rPr>
          <w:b/>
          <w:color w:val="1F2937"/>
          <w:sz w:val="28"/>
        </w:rPr>
        <w:t>Executive Assessment Report</w:t>
      </w:r>
    </w:p>
    <w:p>
      <w:pPr>
        <w:spacing w:before="600"/>
      </w:pPr>
      <w:r>
        <w:rPr>
          <w:color w:val="666666"/>
          <w:sz w:val="21"/>
        </w:rPr>
        <w:t>Assessment date: 13 October 2026</w:t>
        <w:br/>
        <w:t>Assessment basis: Repository and local workspace review</w:t>
        <w:br/>
        <w:t>Prepared for: Executive leadership, risk owners, security governance, platform engineering, and internal audit</w:t>
      </w:r>
    </w:p>
    <w:p>
      <w:pPr>
        <w:spacing w:before="1600"/>
      </w:pPr>
      <w:r>
        <w:rPr>
          <w:b/>
          <w:color w:val="666666"/>
          <w:sz w:val="18"/>
        </w:rPr>
        <w:t>OVERALL RISK POSTURE</w:t>
      </w:r>
    </w:p>
    <w:p>
      <w:r>
        <w:rPr>
          <w:b/>
          <w:color w:val="F4B183"/>
          <w:sz w:val="54"/>
        </w:rPr>
        <w:t>MODERATE</w:t>
      </w:r>
    </w:p>
    <w:p>
      <w:pPr>
        <w:pStyle w:val="Callout"/>
        <w:spacing w:after="100"/>
      </w:pPr>
      <w:r>
        <w:t>One immediate local credential-exposure issue requires remediation before broader production approval.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00"/>
      </w:pPr>
      <w:r>
        <w:t>The environment demonstrates a mature security-by-design approach for an MCP-based administrative integration. The server includes meaningful preventive controls, including opt-in write operations, destructive-action confirmations, documented authentication and TLS mechanisms, security-focused tests, dependency locking, container hardening, and signed/provenance-attested release workflows.</w:t>
      </w:r>
    </w:p>
    <w:p>
      <w:pPr>
        <w:spacing w:after="100"/>
      </w:pPr>
      <w:r>
        <w:t>The principal concern is not an absence of security features; it is the gap between documented capability and verified operational enforcement. In addition, the local workspace contains a .env file with Zscaler credential configuration and filesystem mode 0666, making it readable and writable by all users on the host.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997"/>
        <w:gridCol w:w="4997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 conclusion</w:t>
            </w:r>
          </w:p>
        </w:tc>
        <w:tc>
          <w:tcPr>
            <w:tcW w:type="dxa" w:w="69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Executive implication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Conditional go</w:t>
            </w:r>
          </w:p>
        </w:tc>
        <w:tc>
          <w:tcPr>
            <w:tcW w:type="dxa" w:w="69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Suitable for controlled read-only or tightly governed administrative use.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unrestricted production approval yet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 not approve broad write-enabled operation until credential handling, logging, deployment hardening, and test reproducibility are evidenced.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Immediate action</w:t>
            </w:r>
          </w:p>
        </w:tc>
        <w:tc>
          <w:tcPr>
            <w:tcW w:type="dxa" w:w="69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Restrict .env permissions to 0600 and rotate the client secret if exposure cannot be ruled out.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 limitations</w:t>
      </w:r>
    </w:p>
    <w:p>
      <w:pPr>
        <w:spacing w:after="100"/>
      </w:pPr>
      <w:r>
        <w:t>This report is an evidence-based engineering assessment, not a formal audit, certification, penetration test, or attestation against SOC 2, ISO 27001, NIST, GDPR, or another regulatory regime. Cloud, identity-provider, Zscaler tenant, GitHub organization, Kubernetes cluster, production logging, backup, and incident-response settings were not independently verified.</w:t>
      </w:r>
    </w:p>
    <w:p>
      <w:pPr>
        <w:pStyle w:val="Heading1"/>
      </w:pPr>
      <w:r>
        <w:t>2. Risk Rating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60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96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Likelihood</w:t>
            </w:r>
          </w:p>
        </w:tc>
        <w:tc>
          <w:tcPr>
            <w:tcW w:type="dxa" w:w="262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Business impact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60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R-01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.env credentials exposed through mode 0666</w:t>
            </w:r>
          </w:p>
        </w:tc>
        <w:tc>
          <w:tcPr>
            <w:tcW w:type="dxa" w:w="96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Credential theft and unauthorized Zscaler access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Immediate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Production audit logging is not proven mandatory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Weak accountability and incomplete investigations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 days</w:t>
            </w:r>
          </w:p>
        </w:tc>
      </w:tr>
      <w:tr>
        <w:tc>
          <w:tcPr>
            <w:tcW w:type="dxa" w:w="60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R-03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Security controls are documented but deployment activation is unverified</w:t>
            </w:r>
          </w:p>
        </w:tc>
        <w:tc>
          <w:tcPr>
            <w:tcW w:type="dxa" w:w="96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Secure-by-design controls may not protect production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 days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Write access could be over-provisioned if allowlisting is misconfigured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Low–Medium</w:t>
            </w:r>
          </w:p>
        </w:tc>
        <w:tc>
          <w:tcPr>
            <w:tcW w:type="dxa" w:w="26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Unauthorized tenant configuration changes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 days</w:t>
            </w:r>
          </w:p>
        </w:tc>
      </w:tr>
      <w:tr>
        <w:tc>
          <w:tcPr>
            <w:tcW w:type="dxa" w:w="60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Test suite cannot currently collect in the assessed workspace</w:t>
            </w:r>
          </w:p>
        </w:tc>
        <w:tc>
          <w:tcPr>
            <w:tcW w:type="dxa" w:w="96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Reduced release confidence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 days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 rotation and lifecycle evidence is incomplete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Long-lived credentials and delayed containment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60 days</w:t>
            </w:r>
          </w:p>
        </w:tc>
      </w:tr>
      <w:tr>
        <w:tc>
          <w:tcPr>
            <w:tcW w:type="dxa" w:w="60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R-07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Retention, incident response, backup, and recovery objectives are not evidenced</w:t>
            </w:r>
          </w:p>
        </w:tc>
        <w:tc>
          <w:tcPr>
            <w:tcW w:type="dxa" w:w="96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Compliance and resilience gaps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60–90 days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Health endpoint and network exposure require deployment-specific review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Low–Medium</w:t>
            </w:r>
          </w:p>
        </w:tc>
        <w:tc>
          <w:tcPr>
            <w:tcW w:type="dxa" w:w="26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Information disclosure or service exposure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30–60 days</w:t>
            </w:r>
          </w:p>
        </w:tc>
      </w:tr>
      <w:tr>
        <w:tc>
          <w:tcPr>
            <w:tcW w:type="dxa" w:w="60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R-09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Human approval and access-review governance is not evidenced</w:t>
            </w:r>
          </w:p>
        </w:tc>
        <w:tc>
          <w:tcPr>
            <w:tcW w:type="dxa" w:w="96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62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Excessive privilege and weak segregation of duties</w:t>
            </w:r>
          </w:p>
        </w:tc>
        <w:tc>
          <w:tcPr>
            <w:tcW w:type="dxa" w:w="112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60–90 days</w:t>
            </w:r>
          </w:p>
        </w:tc>
      </w:tr>
    </w:tbl>
    <w:p>
      <w:pPr>
        <w:spacing w:after="20"/>
      </w:pPr>
    </w:p>
    <w:p>
      <w:pPr>
        <w:pStyle w:val="Heading1"/>
      </w:pPr>
      <w:r>
        <w:t>3. Control Strengths</w:t>
      </w:r>
    </w:p>
    <w:p>
      <w:pPr>
        <w:pStyle w:val="Heading2"/>
      </w:pPr>
      <w:r>
        <w:t>Preventive change controls</w:t>
      </w:r>
    </w:p>
    <w:p>
      <w:pPr>
        <w:spacing w:after="100"/>
      </w:pPr>
      <w:r>
        <w:t>Write operations are disabled by default, require explicit enablement, and are constrained through an allowlist. Destructive operations require confirmation controls. This supports least privilege and reduces accidental AI-agent changes.</w:t>
      </w:r>
    </w:p>
    <w:p>
      <w:pPr>
        <w:pStyle w:val="Heading2"/>
      </w:pPr>
      <w:r>
        <w:t>Authentication and transport security</w:t>
      </w:r>
    </w:p>
    <w:p>
      <w:pPr>
        <w:spacing w:after="100"/>
      </w:pPr>
      <w:r>
        <w:t>The repository includes dedicated documentation for MCP client authentication, TLS, and hardening. This provides a path toward authenticated client access and protected transport, although effective production settings remain to be verified.</w:t>
      </w:r>
    </w:p>
    <w:p>
      <w:pPr>
        <w:pStyle w:val="Heading2"/>
      </w:pPr>
      <w:r>
        <w:t>Software supply-chain controls</w:t>
      </w:r>
    </w:p>
    <w:p>
      <w:pPr>
        <w:spacing w:after="100"/>
      </w:pPr>
      <w:r>
        <w:t>Locked dependencies, pinned container base-image digests, commit-pinned CI actions, signed release bundles, checksums, SBOM generation, and provenance attestations are all present in the repository.</w:t>
      </w:r>
    </w:p>
    <w:p>
      <w:pPr>
        <w:pStyle w:val="Heading2"/>
      </w:pPr>
      <w:r>
        <w:t>Container baseline</w:t>
      </w:r>
    </w:p>
    <w:p>
      <w:pPr>
        <w:spacing w:after="100"/>
      </w:pPr>
      <w:r>
        <w:t>The Dockerfile creates and runs the service as a non-root app user, reducing the impact of application compromise.</w:t>
      </w:r>
    </w:p>
    <w:p>
      <w:pPr>
        <w:pStyle w:val="Heading2"/>
      </w:pPr>
      <w:r>
        <w:t>Security-focused automated testing</w:t>
      </w:r>
    </w:p>
    <w:p>
      <w:pPr>
        <w:spacing w:after="100"/>
      </w:pPr>
      <w:r>
        <w:t>The test suite includes dedicated coverage for authentication, audit behavior, confirmation and token usage, hardening, sanitization, lifecycle behavior, server security, protocol conformance, and secret-manager integrations.</w:t>
      </w:r>
    </w:p>
    <w:p>
      <w:pPr>
        <w:pStyle w:val="Heading1"/>
      </w:pPr>
      <w:r>
        <w:t>4. Material Findings and Required Actions</w:t>
      </w:r>
    </w:p>
    <w:p>
      <w:pPr>
        <w:pStyle w:val="Heading2"/>
      </w:pPr>
      <w:r>
        <w:t>R-01 — Local credentials have unsafe filesystem permissions</w:t>
      </w:r>
    </w:p>
    <w:p>
      <w:pPr>
        <w:spacing w:after="60"/>
      </w:pPr>
      <w:r>
        <w:rPr>
          <w:b/>
          <w:color w:val="C00000"/>
        </w:rPr>
        <w:t>Severity: HIGH</w:t>
      </w:r>
    </w:p>
    <w:p>
      <w:pPr>
        <w:spacing w:after="100"/>
      </w:pPr>
      <w:r>
        <w:t>Evidence: The local .env file contains Zscaler credential configuration keys, including a client secret. It is not tracked by Git, which is positive, but its mode is 0666. Any local user with access to the workspace can read or modify it.</w:t>
      </w:r>
    </w:p>
    <w:p>
      <w:pPr>
        <w:spacing w:after="100"/>
      </w:pPr>
      <w:r>
        <w:t>Required action: Change the file to mode 0600; determine whether exposure occurred; rotate the client secret if exposure cannot be ruled out; use an approved secret manager for non-development use; ensure secrets do not appear in logs, diagnostics, or process listings.</w:t>
      </w:r>
    </w:p>
    <w:p>
      <w:pPr>
        <w:pStyle w:val="Heading2"/>
      </w:pPr>
      <w:r>
        <w:t>R-02 — Audit logging is optional rather than demonstrably enforced</w:t>
      </w:r>
    </w:p>
    <w:p>
      <w:pPr>
        <w:spacing w:after="60"/>
      </w:pPr>
      <w:r>
        <w:rPr>
          <w:b/>
          <w:color w:val="C00000"/>
        </w:rPr>
        <w:t>Severity: HIGH</w:t>
      </w:r>
    </w:p>
    <w:p>
      <w:pPr>
        <w:spacing w:after="100"/>
      </w:pPr>
      <w:r>
        <w:t>Evidence: Tool-call audit logging is documented as opt-in. Without mandatory production logging, the organization may be unable to establish which actor invoked a tool, what tenant object was changed, whether a destructive action was approved, or the sequence of actions leading to an incident.</w:t>
      </w:r>
    </w:p>
    <w:p>
      <w:pPr>
        <w:spacing w:after="100"/>
      </w:pPr>
      <w:r>
        <w:t>Required action: Make audit logging mandatory in production; centralize logs; define retention; include actor, client, tool, tenant, operation, timestamp, status, approval context, and correlation ID; redact secrets; alert on unusual write activity and authentication failures.</w:t>
      </w:r>
    </w:p>
    <w:p>
      <w:pPr>
        <w:pStyle w:val="Heading2"/>
      </w:pPr>
      <w:r>
        <w:t>R-03 — Deployment activation of controls is not evidenced</w:t>
      </w:r>
    </w:p>
    <w:p>
      <w:pPr>
        <w:spacing w:after="60"/>
      </w:pPr>
      <w:r>
        <w:rPr>
          <w:b/>
          <w:color w:val="C00000"/>
        </w:rPr>
        <w:t>Severity: HIGH</w:t>
      </w:r>
    </w:p>
    <w:p>
      <w:pPr>
        <w:spacing w:after="100"/>
      </w:pPr>
      <w:r>
        <w:t>Evidence: The repository documents authentication, TLS, write restrictions, source-IP controls, secret-manager integration, and logging, but the effective production configuration was not available for verification.</w:t>
      </w:r>
    </w:p>
    <w:p>
      <w:pPr>
        <w:spacing w:after="100"/>
      </w:pPr>
      <w:r>
        <w:t>Required action: Create a deployment-control evidence pack covering effective configuration, redacted environment variables, ingress/TLS, authentication, enabled tools, service-account permissions, network policies, centralized logging, and tests showing unauthorized writes are rejected.</w:t>
      </w:r>
    </w:p>
    <w:p>
      <w:pPr>
        <w:pStyle w:val="Heading2"/>
      </w:pPr>
      <w:r>
        <w:t>R-04 — Write access requires formal governance around allowlists</w:t>
      </w:r>
    </w:p>
    <w:p>
      <w:pPr>
        <w:spacing w:after="60"/>
      </w:pPr>
      <w:r>
        <w:rPr>
          <w:b/>
          <w:color w:val="C00000"/>
        </w:rPr>
        <w:t>Severity: HIGH</w:t>
      </w:r>
    </w:p>
    <w:p>
      <w:pPr>
        <w:spacing w:after="100"/>
      </w:pPr>
      <w:r>
        <w:t>Evidence: The design appropriately makes writes opt-in, but risk depends on how allowlists are approved, changed, reviewed, and separated from read-only operations.</w:t>
      </w:r>
    </w:p>
    <w:p>
      <w:pPr>
        <w:spacing w:after="100"/>
      </w:pPr>
      <w:r>
        <w:t>Required action: Use separate read-only and write-enabled profiles; require peer approval for allowlist changes; avoid wildcard write enablement; use separate identities; require human confirmation; review privileges quarterly; log every write.</w:t>
      </w:r>
    </w:p>
    <w:p>
      <w:pPr>
        <w:pStyle w:val="Heading2"/>
      </w:pPr>
      <w:r>
        <w:t>R-05 — Local test execution is not currently reproducible</w:t>
      </w:r>
    </w:p>
    <w:p>
      <w:pPr>
        <w:spacing w:after="60"/>
      </w:pPr>
      <w:r>
        <w:rPr>
          <w:b/>
          <w:color w:val="F4B183"/>
        </w:rPr>
        <w:t>Severity: MEDIUM</w:t>
      </w:r>
    </w:p>
    <w:p>
      <w:pPr>
        <w:spacing w:after="100"/>
      </w:pPr>
      <w:r>
        <w:t>Evidence: The attempted uv run pytest -q command failed during test collection with ModuleNotFoundError: No module named zscaler_mcp. This may reflect an incomplete or non-installed source tree, but it reduces local release assurance.</w:t>
      </w:r>
    </w:p>
    <w:p>
      <w:pPr>
        <w:spacing w:after="100"/>
      </w:pPr>
      <w:r>
        <w:t>Required action: Confirm the expected src/zscaler_mcp tree is present; run uv sync --extra dev; verify package import; re-run the suite with coverage; align developer and CI setup; add a clear preflight failure.</w:t>
      </w:r>
    </w:p>
    <w:p>
      <w:pPr>
        <w:pStyle w:val="Heading2"/>
      </w:pPr>
      <w:r>
        <w:t>R-06 — Credential lifecycle controls are not sufficiently evidenced</w:t>
      </w:r>
    </w:p>
    <w:p>
      <w:pPr>
        <w:spacing w:after="60"/>
      </w:pPr>
      <w:r>
        <w:rPr>
          <w:b/>
          <w:color w:val="F4B183"/>
        </w:rPr>
        <w:t>Severity: MEDIUM</w:t>
      </w:r>
    </w:p>
    <w:p>
      <w:pPr>
        <w:spacing w:after="100"/>
      </w:pPr>
      <w:r>
        <w:t>Evidence: Secret-manager integrations are documented, but rotation frequency, expiry, ownership, emergency rotation, environment separation, and revocation testing were not evidenced.</w:t>
      </w:r>
    </w:p>
    <w:p>
      <w:pPr>
        <w:spacing w:after="100"/>
      </w:pPr>
      <w:r>
        <w:t>Required action: Define ownership and expiry; use short-lived or narrowly scoped credentials where supported; document and test emergency rotation and revocation; prohibit sharing production secrets through .env files or chat.</w:t>
      </w:r>
    </w:p>
    <w:p>
      <w:pPr>
        <w:pStyle w:val="Heading2"/>
      </w:pPr>
      <w:r>
        <w:t>R-07 — Operational resilience and compliance evidence is incomplete</w:t>
      </w:r>
    </w:p>
    <w:p>
      <w:pPr>
        <w:spacing w:after="60"/>
      </w:pPr>
      <w:r>
        <w:rPr>
          <w:b/>
          <w:color w:val="F4B183"/>
        </w:rPr>
        <w:t>Severity: MEDIUM</w:t>
      </w:r>
    </w:p>
    <w:p>
      <w:pPr>
        <w:spacing w:after="100"/>
      </w:pPr>
      <w:r>
        <w:t>Evidence: RTO/RPO, backup scope, restoration tests, incident exercises, data classification, log retention, and privacy assessment were not established by the reviewed evidence.</w:t>
      </w:r>
    </w:p>
    <w:p>
      <w:pPr>
        <w:spacing w:after="100"/>
      </w:pPr>
      <w:r>
        <w:t>Required action: Define RTO/RPO; test restoration annually; establish retention and legal-hold handling; maintain an incident runbook; classify data returned by tools; complete privacy and data-residency review.</w:t>
      </w:r>
    </w:p>
    <w:p>
      <w:pPr>
        <w:pStyle w:val="Heading2"/>
      </w:pPr>
      <w:r>
        <w:t>R-08 — Health and network exposure need deployment-specific validation</w:t>
      </w:r>
    </w:p>
    <w:p>
      <w:pPr>
        <w:spacing w:after="60"/>
      </w:pPr>
      <w:r>
        <w:rPr>
          <w:b/>
          <w:color w:val="F4B183"/>
        </w:rPr>
        <w:t>Severity: MEDIUM</w:t>
      </w:r>
    </w:p>
    <w:p>
      <w:pPr>
        <w:spacing w:after="100"/>
      </w:pPr>
      <w:r>
        <w:t>Evidence: The Kubernetes deployment documentation indicates that the health endpoint is unauthenticated. This can be acceptable for a minimal internal liveness probe, but it becomes a risk if externally reachable or overly informative.</w:t>
      </w:r>
    </w:p>
    <w:p>
      <w:pPr>
        <w:spacing w:after="100"/>
      </w:pPr>
      <w:r>
        <w:t>Required action: Restrict health endpoints to internal probes; return no sensitive information; protect administrative diagnostics; verify TLS termination, ingress restrictions, and network policies.</w:t>
      </w:r>
    </w:p>
    <w:p>
      <w:pPr>
        <w:pStyle w:val="Heading2"/>
      </w:pPr>
      <w:r>
        <w:t>R-09 — Human approval and access-review governance is not evidenced</w:t>
      </w:r>
    </w:p>
    <w:p>
      <w:pPr>
        <w:spacing w:after="60"/>
      </w:pPr>
      <w:r>
        <w:rPr>
          <w:b/>
          <w:color w:val="F4B183"/>
        </w:rPr>
        <w:t>Severity: MEDIUM</w:t>
      </w:r>
    </w:p>
    <w:p>
      <w:pPr>
        <w:spacing w:after="100"/>
      </w:pPr>
      <w:r>
        <w:t>Evidence: The repository supports technical confirmation controls, but evidence of formal access reviews, segregation of duties, approval ownership, and periodic recertification was not available.</w:t>
      </w:r>
    </w:p>
    <w:p>
      <w:pPr>
        <w:spacing w:after="100"/>
      </w:pPr>
      <w:r>
        <w:t>Required action: Assign control owners; conduct quarterly access reviews; separate request, approval, execution, and review; retain approval evidence for privileged changes.</w:t>
      </w:r>
    </w:p>
    <w:p>
      <w:pPr>
        <w:pStyle w:val="Heading1"/>
      </w:pPr>
      <w:r>
        <w:t>5. Compliance and Control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31"/>
        <w:gridCol w:w="3331"/>
        <w:gridCol w:w="3331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 domain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  <w:tc>
          <w:tcPr>
            <w:tcW w:type="dxa" w:w="56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Assessment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Asset and service inventory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Repository scope is identifiable; deployed instances and owners are not evidenced.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Identity and access management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 to strong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Authentication is documented; effective configuration and access reviews are unverified.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Least privilege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Strong design / unverified deployment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Write tools are disabled by default and allowlisted; deployment state must be proven.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Change management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 to strong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CI, pull requests, locked dependencies, and release workflows exist; approval governance needs evidence.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Auditability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 logging is supported, but production enforcement and retention are not demonstrated.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Cryptography and transport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 to strong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TLS and authentication guidance exists; runtime configuration is unverified.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 management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Secret-manager integrations exist, but local .env handling is unsafe and rotation evidence is missing.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Secure development lifecycle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Strong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Security-focused tests, linting, dependency locks, and CI workflows are present.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Supply-chain integrity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Strong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Pinned images, signed artifacts, SBOM, and provenance attestations are supported.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Container hardening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Partial to strong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Non-root execution is present; Kubernetes security context and network restrictions require validation.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Incident response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Weakly evidenced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Tested runbooks, escalation, and tabletop exercises were not established.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Resilience and recovery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Weakly evidenced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RTO/RPO, backup, and restoration testing were not established.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 and data governance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Not established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 classification, retention, residency, and privacy assessment require formal review.</w:t>
            </w:r>
          </w:p>
        </w:tc>
      </w:tr>
    </w:tbl>
    <w:p>
      <w:pPr>
        <w:spacing w:after="20"/>
      </w:pPr>
    </w:p>
    <w:p>
      <w:pPr>
        <w:spacing w:after="100"/>
      </w:pPr>
      <w:r>
        <w:t>Framework alignment is directional, not certification. The observed controls align conceptually with NIST CSF 2.0, NIST SP 800-53, NIST SSDF, SOC 2 Trust Services Criteria, ISO/IEC 27001, and CIS Controls.</w:t>
      </w:r>
    </w:p>
    <w:p>
      <w:pPr>
        <w:pStyle w:val="Heading1"/>
      </w:pPr>
      <w:r>
        <w:t>6. Executive Remediation Roadmap</w:t>
      </w:r>
    </w:p>
    <w:p>
      <w:pPr>
        <w:pStyle w:val="Heading2"/>
      </w:pPr>
      <w:r>
        <w:t>Immediate: 0–7 days</w:t>
      </w:r>
    </w:p>
    <w:p>
      <w:pPr>
        <w:pStyle w:val="ListBullet"/>
        <w:spacing w:after="40"/>
      </w:pPr>
      <w:r>
        <w:t>Change .env permissions to 0600.</w:t>
      </w:r>
    </w:p>
    <w:p>
      <w:pPr>
        <w:pStyle w:val="ListBullet"/>
        <w:spacing w:after="40"/>
      </w:pPr>
      <w:r>
        <w:t>Determine whether the client secret was exposed and rotate it if necessary.</w:t>
      </w:r>
    </w:p>
    <w:p>
      <w:pPr>
        <w:pStyle w:val="ListBullet"/>
        <w:spacing w:after="40"/>
      </w:pPr>
      <w:r>
        <w:t>Confirm the workspace is not shared with untrusted users or processes.</w:t>
      </w:r>
    </w:p>
    <w:p>
      <w:pPr>
        <w:pStyle w:val="ListBullet"/>
        <w:spacing w:after="40"/>
      </w:pPr>
      <w:r>
        <w:t>Verify secrets are absent from logs, shell history, crash reports, and workspace artifacts.</w:t>
      </w:r>
    </w:p>
    <w:p>
      <w:pPr>
        <w:pStyle w:val="ListBullet"/>
        <w:spacing w:after="40"/>
      </w:pPr>
      <w:r>
        <w:t>Confirm whether any production deployment uses the local .env pattern.</w:t>
      </w:r>
    </w:p>
    <w:p>
      <w:pPr>
        <w:pStyle w:val="Heading2"/>
      </w:pPr>
      <w:r>
        <w:t>Near term: 8–30 days</w:t>
      </w:r>
    </w:p>
    <w:p>
      <w:pPr>
        <w:pStyle w:val="ListBullet"/>
        <w:spacing w:after="40"/>
      </w:pPr>
      <w:r>
        <w:t>Make audit logging mandatory in production and centralize it.</w:t>
      </w:r>
    </w:p>
    <w:p>
      <w:pPr>
        <w:pStyle w:val="ListBullet"/>
        <w:spacing w:after="40"/>
      </w:pPr>
      <w:r>
        <w:t>Produce deployment evidence for authentication, TLS, write-tool configuration, and network exposure.</w:t>
      </w:r>
    </w:p>
    <w:p>
      <w:pPr>
        <w:pStyle w:val="ListBullet"/>
        <w:spacing w:after="40"/>
      </w:pPr>
      <w:r>
        <w:t>Separate read-only and write-enabled operating profiles.</w:t>
      </w:r>
    </w:p>
    <w:p>
      <w:pPr>
        <w:pStyle w:val="ListBullet"/>
        <w:spacing w:after="40"/>
      </w:pPr>
      <w:r>
        <w:t>Resolve the package/import issue and establish reproducible local test execution.</w:t>
      </w:r>
    </w:p>
    <w:p>
      <w:pPr>
        <w:pStyle w:val="ListBullet"/>
        <w:spacing w:after="40"/>
      </w:pPr>
      <w:r>
        <w:t>Review the health endpoint and ingress restrictions.</w:t>
      </w:r>
    </w:p>
    <w:p>
      <w:pPr>
        <w:pStyle w:val="ListBullet"/>
        <w:spacing w:after="40"/>
      </w:pPr>
      <w:r>
        <w:t>Document emergency credential rotation and unauthorized-change response.</w:t>
      </w:r>
    </w:p>
    <w:p>
      <w:pPr>
        <w:pStyle w:val="Heading2"/>
      </w:pPr>
      <w:r>
        <w:t>Medium term: 31–90 days</w:t>
      </w:r>
    </w:p>
    <w:p>
      <w:pPr>
        <w:pStyle w:val="ListBullet"/>
        <w:spacing w:after="40"/>
      </w:pPr>
      <w:r>
        <w:t>Complete quarterly access reviews for Zscaler, GitHub, cloud, Kubernetes, and secret-manager identities.</w:t>
      </w:r>
    </w:p>
    <w:p>
      <w:pPr>
        <w:pStyle w:val="ListBullet"/>
        <w:spacing w:after="40"/>
      </w:pPr>
      <w:r>
        <w:t>Establish formal write-tool approval and change-management procedures.</w:t>
      </w:r>
    </w:p>
    <w:p>
      <w:pPr>
        <w:pStyle w:val="ListBullet"/>
        <w:spacing w:after="40"/>
      </w:pPr>
      <w:r>
        <w:t>Define audit-log retention and privacy requirements.</w:t>
      </w:r>
    </w:p>
    <w:p>
      <w:pPr>
        <w:pStyle w:val="ListBullet"/>
        <w:spacing w:after="40"/>
      </w:pPr>
      <w:r>
        <w:t>Complete data classification and privacy review.</w:t>
      </w:r>
    </w:p>
    <w:p>
      <w:pPr>
        <w:pStyle w:val="ListBullet"/>
        <w:spacing w:after="40"/>
      </w:pPr>
      <w:r>
        <w:t>Define and test backup, restoration, RTO, and RPO procedures.</w:t>
      </w:r>
    </w:p>
    <w:p>
      <w:pPr>
        <w:pStyle w:val="ListBullet"/>
        <w:spacing w:after="40"/>
      </w:pPr>
      <w:r>
        <w:t>Conduct an incident-response tabletop exercise involving compromised Zscaler credentials.</w:t>
      </w:r>
    </w:p>
    <w:p>
      <w:pPr>
        <w:pStyle w:val="ListBullet"/>
        <w:spacing w:after="40"/>
      </w:pPr>
      <w:r>
        <w:t>Verify Kubernetes security context, service-account permissions, network policies, and pod restrictions.</w:t>
      </w:r>
    </w:p>
    <w:p>
      <w:pPr>
        <w:pStyle w:val="Heading2"/>
      </w:pPr>
      <w:r>
        <w:t>Ongoing</w:t>
      </w:r>
    </w:p>
    <w:p>
      <w:pPr>
        <w:pStyle w:val="ListBullet"/>
        <w:spacing w:after="40"/>
      </w:pPr>
      <w:r>
        <w:t>Review privileged tool allowlists quarterly.</w:t>
      </w:r>
    </w:p>
    <w:p>
      <w:pPr>
        <w:pStyle w:val="ListBullet"/>
        <w:spacing w:after="40"/>
      </w:pPr>
      <w:r>
        <w:t>Rotate credentials according to policy.</w:t>
      </w:r>
    </w:p>
    <w:p>
      <w:pPr>
        <w:pStyle w:val="ListBullet"/>
        <w:spacing w:after="40"/>
      </w:pPr>
      <w:r>
        <w:t>Monitor failed confirmations, authentication failures, unusual read volume, and write activity.</w:t>
      </w:r>
    </w:p>
    <w:p>
      <w:pPr>
        <w:pStyle w:val="ListBullet"/>
        <w:spacing w:after="40"/>
      </w:pPr>
      <w:r>
        <w:t>Require signed and provenance-attested release artifacts.</w:t>
      </w:r>
    </w:p>
    <w:p>
      <w:pPr>
        <w:pStyle w:val="ListBullet"/>
        <w:spacing w:after="40"/>
      </w:pPr>
      <w:r>
        <w:t>Track dependency vulnerabilities and remediation SLAs.</w:t>
      </w:r>
    </w:p>
    <w:p>
      <w:pPr>
        <w:pStyle w:val="ListBullet"/>
        <w:spacing w:after="40"/>
      </w:pPr>
      <w:r>
        <w:t>Reassess this report after material architecture, identity, or deployment changes.</w:t>
      </w:r>
    </w:p>
    <w:p>
      <w:pPr>
        <w:pStyle w:val="Heading1"/>
      </w:pPr>
      <w:r>
        <w:t>7. Production Go / No-Go Recommendation</w:t>
      </w:r>
    </w:p>
    <w:p>
      <w:pPr>
        <w:pStyle w:val="Callout"/>
        <w:spacing w:after="100"/>
      </w:pPr>
      <w:r>
        <w:t>Recommendation: CONDITIONAL GO FOR CONTROLLED USE; NO UNRESTRICTED PRODUCTION APPROVAL YET</w:t>
      </w:r>
    </w:p>
    <w:p>
      <w:pPr>
        <w:spacing w:after="100"/>
      </w:pPr>
      <w:r>
        <w:t>The environment may proceed for read-only investigations, non-production testing, and controlled administrative workflows with human approval. Production approval should be withheld for unrestricted write-enabled operation until the exit criteria below are met.</w:t>
      </w:r>
    </w:p>
    <w:p>
      <w:pPr>
        <w:pStyle w:val="ListBullet"/>
        <w:spacing w:after="40"/>
      </w:pPr>
      <w:r>
        <w:t>.env credential exposure is remediated and credentials are rotated where necessary.</w:t>
      </w:r>
    </w:p>
    <w:p>
      <w:pPr>
        <w:pStyle w:val="ListBullet"/>
        <w:spacing w:after="40"/>
      </w:pPr>
      <w:r>
        <w:t>Production authentication and TLS are verified through deployment evidence.</w:t>
      </w:r>
    </w:p>
    <w:p>
      <w:pPr>
        <w:pStyle w:val="ListBullet"/>
        <w:spacing w:after="40"/>
      </w:pPr>
      <w:r>
        <w:t>Write tools are explicitly allowlisted and separately governed.</w:t>
      </w:r>
    </w:p>
    <w:p>
      <w:pPr>
        <w:pStyle w:val="ListBullet"/>
        <w:spacing w:after="40"/>
      </w:pPr>
      <w:r>
        <w:t>Audit logging is mandatory, centralized, redacted, retained, and monitored.</w:t>
      </w:r>
    </w:p>
    <w:p>
      <w:pPr>
        <w:pStyle w:val="ListBullet"/>
        <w:spacing w:after="40"/>
      </w:pPr>
      <w:r>
        <w:t>The test suite is reproducible and passes in the intended build environment.</w:t>
      </w:r>
    </w:p>
    <w:p>
      <w:pPr>
        <w:pStyle w:val="ListBullet"/>
        <w:spacing w:after="40"/>
      </w:pPr>
      <w:r>
        <w:t>Secret rotation, incident response, and recovery procedures are documented and tested.</w:t>
      </w:r>
    </w:p>
    <w:p>
      <w:pPr>
        <w:pStyle w:val="ListBullet"/>
        <w:spacing w:after="40"/>
      </w:pPr>
      <w:r>
        <w:t>Network exposure, health endpoints, service accounts, and Kubernetes hardening are validated.</w:t>
      </w:r>
    </w:p>
    <w:p>
      <w:pPr>
        <w:pStyle w:val="Heading1"/>
      </w:pPr>
      <w:r>
        <w:t>Appendix A — Evidence Reviewed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997"/>
        <w:gridCol w:w="4997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area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Repository evidence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Security design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docsrc/security/index.rst; docsrc/security/mcp-client-auth.rst; docsrc/security/write-operations.rst; docsrc/security/tls-and-hardening.rst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Auditability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docsrc/guides/audit-logging.rst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docs/deployment/secrets_manager_integration.md; local .env metadata (values withheld)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Build and release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Dockerfile; .github/workflows/tests.yml; python-lint.yml; docker-build-push.yml; release.yml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Runtime deployment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integrations/helm-chart/charts/zscaler-mcp-server/templates/deployment.yaml; values.yaml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tests/ directory, including test_auth.py, test_audit.py, test_hardening.py, test_sanitize.py, test_server_security.py, and test_provenance.py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Validation result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uv run pytest -q attempted; collection failed because zscaler_mcp was not importable in the assessed workspace</w:t>
            </w:r>
          </w:p>
        </w:tc>
      </w:tr>
    </w:tbl>
    <w:p>
      <w:pPr>
        <w:spacing w:after="20"/>
      </w:pPr>
    </w:p>
    <w:p>
      <w:pPr>
        <w:spacing w:after="100"/>
      </w:pPr>
      <w:r>
        <w:t>Sensitive values were intentionally not included in this report. Repository paths are provided as evidence references; production effectiveness still requires configuration and operational verification.</w:t>
      </w:r>
    </w:p>
    <w:p>
      <w:pPr>
        <w:pStyle w:val="Heading1"/>
      </w:pPr>
      <w:r>
        <w:t>Appendix B — Evidence References</w:t>
      </w:r>
    </w:p>
    <w:p>
      <w:pPr>
        <w:pStyle w:val="ListBullet"/>
        <w:spacing w:after="40"/>
      </w:pPr>
      <w:r>
        <w:t>/workspaces/bren4ireland.github.io/zscaler-mcp-server/docsrc/security/index.rst</w:t>
      </w:r>
    </w:p>
    <w:p>
      <w:pPr>
        <w:pStyle w:val="ListBullet"/>
        <w:spacing w:after="40"/>
      </w:pPr>
      <w:r>
        <w:t>/workspaces/bren4ireland.github.io/zscaler-mcp-server/docsrc/security/mcp-client-auth.rst</w:t>
      </w:r>
    </w:p>
    <w:p>
      <w:pPr>
        <w:pStyle w:val="ListBullet"/>
        <w:spacing w:after="40"/>
      </w:pPr>
      <w:r>
        <w:t>/workspaces/bren4ireland.github.io/zscaler-mcp-server/docsrc/security/write-operations.rst</w:t>
      </w:r>
    </w:p>
    <w:p>
      <w:pPr>
        <w:pStyle w:val="ListBullet"/>
        <w:spacing w:after="40"/>
      </w:pPr>
      <w:r>
        <w:t>/workspaces/bren4ireland.github.io/zscaler-mcp-server/docsrc/security/tls-and-hardening.rst</w:t>
      </w:r>
    </w:p>
    <w:p>
      <w:pPr>
        <w:pStyle w:val="ListBullet"/>
        <w:spacing w:after="40"/>
      </w:pPr>
      <w:r>
        <w:t>/workspaces/bren4ireland.github.io/zscaler-mcp-server/docsrc/guides/audit-logging.rst</w:t>
      </w:r>
    </w:p>
    <w:p>
      <w:pPr>
        <w:pStyle w:val="ListBullet"/>
        <w:spacing w:after="40"/>
      </w:pPr>
      <w:r>
        <w:t>/workspaces/bren4ireland.github.io/zscaler-mcp-server/Dockerfile</w:t>
      </w:r>
    </w:p>
    <w:p>
      <w:pPr>
        <w:pStyle w:val="ListBullet"/>
        <w:spacing w:after="40"/>
      </w:pPr>
      <w:r>
        <w:t>/workspaces/bren4ireland.github.io/zscaler-mcp-server/.github/workflows/release.yml</w:t>
      </w:r>
    </w:p>
    <w:p>
      <w:pPr>
        <w:pStyle w:val="ListBullet"/>
        <w:spacing w:after="40"/>
      </w:pPr>
      <w:r>
        <w:t>/workspaces/bren4ireland.github.io/zscaler-mcp-server/integrations/helm-chart/charts/zscaler-mcp-server/templates/deployment.yaml</w:t>
      </w:r>
    </w:p>
    <w:p>
      <w:pPr>
        <w:pStyle w:val="ListBullet"/>
        <w:spacing w:after="40"/>
      </w:pPr>
      <w:r>
        <w:t>/workspaces/bren4ireland.github.io/zscaler-mcp-server/tests/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 xml:space="preserve">CONFIDENTIAL – INTERNAL USE ONLY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5"/>
      </w:rPr>
      <w:t>ZSCALER MCP SERVER  |  GOVERNANCE, RISK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hAnsi="Aptos"/>
      <w:b w:val="0"/>
      <w:color w:val="666666"/>
      <w:sz w:val="17"/>
    </w:rPr>
  </w:style>
  <w:style w:type="paragraph" w:customStyle="1" w:styleId="Callout">
    <w:name w:val="Callout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Governance, Risk &amp; Compliance Report – Zscaler MCP Server Environment</dc:title>
  <dc:subject>Executive GRC assessment</dc:subject>
  <dc:creator>AI assistant using Copilot SDK in VS Code</dc:creator>
  <cp:keywords>GRC, risk, compliance, Zscaler, MCP,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