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05625" cy="813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84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15038" cy="447675"/>
                      <wp:effectExtent b="0" l="0" r="0" t="0"/>
                      <wp:docPr id="19641757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15038" cy="447675"/>
                      <wp:effectExtent b="0" l="0" r="0" t="0"/>
                      <wp:docPr id="196417571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15038" cy="447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image9.png"/>
                <a:graphic>
                  <a:graphicData uri="http://schemas.openxmlformats.org/drawingml/2006/picture">
                    <pic:pic>
                      <pic:nvPicPr>
                        <pic:cNvPr descr="retângulo"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534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image5.png"/>
                <a:graphic>
                  <a:graphicData uri="http://schemas.openxmlformats.org/drawingml/2006/picture">
                    <pic:pic>
                      <pic:nvPicPr>
                        <pic:cNvPr descr="retângulo"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1184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1964175712" name="image2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</w:rPr>
      </w:pPr>
      <w:sdt>
        <w:sdtPr>
          <w:id w:val="1103666645"/>
          <w:tag w:val="goog_rdk_0"/>
        </w:sdtPr>
        <w:sdtContent>
          <w:commentRangeStart w:id="0"/>
        </w:sdtContent>
      </w:sdt>
      <w:sdt>
        <w:sdtPr>
          <w:id w:val="-996167249"/>
          <w:tag w:val="goog_rdk_1"/>
        </w:sdtPr>
        <w:sdtContent>
          <w:commentRangeStart w:id="1"/>
        </w:sdtContent>
      </w:sdt>
      <w:sdt>
        <w:sdtPr>
          <w:id w:val="-1578130569"/>
          <w:tag w:val="goog_rdk_2"/>
        </w:sdtPr>
        <w:sdtContent>
          <w:commentRangeStart w:id="2"/>
        </w:sdtContent>
      </w:sdt>
      <w:sdt>
        <w:sdtPr>
          <w:id w:val="482929756"/>
          <w:tag w:val="goog_rdk_3"/>
        </w:sdtPr>
        <w:sdtContent>
          <w:commentRangeStart w:id="3"/>
        </w:sdtContent>
      </w:sdt>
      <w:sdt>
        <w:sdtPr>
          <w:id w:val="1386738132"/>
          <w:tag w:val="goog_rdk_4"/>
        </w:sdtPr>
        <w:sdtContent>
          <w:commentRangeStart w:id="4"/>
        </w:sdtContent>
      </w:sdt>
      <w:sdt>
        <w:sdtPr>
          <w:id w:val="1765893151"/>
          <w:tag w:val="goog_rdk_5"/>
        </w:sdtPr>
        <w:sdtContent>
          <w:commentRangeStart w:id="5"/>
        </w:sdtContent>
      </w:sdt>
      <w:sdt>
        <w:sdtPr>
          <w:id w:val="-2110675987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i003dqotmf – 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b w:val="1"/>
          <w:bCs w:val="1"/>
          <w:rtl w:val="0"/>
        </w:rPr>
        <w:t xml:space="preserve">Score de oportunidade da disponibilização do registro no data lake após entrada na RNDS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Conceituação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Mede a média dos dias decorridos entre o </w:t>
      </w:r>
      <w:r w:rsidDel="00000000" w:rsidR="00000000" w:rsidRPr="00000000">
        <w:rPr>
          <w:rtl w:val="0"/>
        </w:rPr>
        <w:t xml:space="preserve">momento em que um registro</w:t>
      </w:r>
      <w:r w:rsidDel="00000000" w:rsidR="00000000" w:rsidRPr="00000000">
        <w:rPr>
          <w:rtl w:val="0"/>
        </w:rPr>
        <w:t xml:space="preserve"> é salvo na base da RNDS e o instante em que o mesmo registro é extraído da fila do Kafka para o datalake.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indicador reflete a eficiência dos processos de ingestão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a oportunidade do acesso ao dado</w:t>
      </w:r>
      <w:r w:rsidDel="00000000" w:rsidR="00000000" w:rsidRPr="00000000">
        <w:rPr>
          <w:rtl w:val="0"/>
        </w:rPr>
        <w:t xml:space="preserve"> da RNDS para os usuários das tabelas de análise, a partir do 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processamento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dos </w:t>
      </w:r>
      <w:r w:rsidDel="00000000" w:rsidR="00000000" w:rsidRPr="00000000">
        <w:rPr>
          <w:rtl w:val="0"/>
        </w:rPr>
        <w:t xml:space="preserve">registros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na ingestão do Data Lake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Verificar a necessidade de melhoria na arquitetura, bem como apoio na identificação de erros no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</w:t>
      </w:r>
    </w:p>
    <w:p w:rsidR="00000000" w:rsidDel="00000000" w:rsidP="00000000" w:rsidRDefault="00000000" w:rsidRPr="00000000" w14:paraId="00000013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Este indicador não reflete a data do evento, mas sim da data de entrada na RNDS após o processamento de integração. </w:t>
      </w:r>
      <w:r w:rsidDel="00000000" w:rsidR="00000000" w:rsidRPr="00000000">
        <w:rPr>
          <w:rtl w:val="0"/>
        </w:rPr>
        <w:t xml:space="preserve">Há situações específicas como campanha de vacinação ou subida de dados legados que podem impactar no processo, aumentando 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15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Todos os Modelos Informacionais da RNDS.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Cálculo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sdt>
        <w:sdtPr>
          <w:id w:val="-1728660181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 médio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sdt>
        <w:sdtPr>
          <w:id w:val="-93637038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∑(Data no </w:t>
          </w:r>
        </w:sdtContent>
      </w:sdt>
      <w:r w:rsidDel="00000000" w:rsidR="00000000" w:rsidRPr="00000000">
        <w:rPr>
          <w:rtl w:val="0"/>
        </w:rPr>
        <w:t xml:space="preserve">Data Lake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– Data na RNDS)/N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Categorias sugeridas para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Período (</w:t>
      </w:r>
      <w:r w:rsidDel="00000000" w:rsidR="00000000" w:rsidRPr="00000000">
        <w:rPr>
          <w:rtl w:val="0"/>
        </w:rPr>
        <w:t xml:space="preserve">semanal,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mensal, trimestral)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Tempo de disponibilização  &gt; Pontuação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color w:val="ff0000"/>
        </w:rPr>
      </w:pPr>
      <w:sdt>
        <w:sdtPr>
          <w:id w:val="-101119421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≤ 1h  -&gt; 1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1h até 24 horas  -&gt; 0,8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 24h a 72 horas -&gt; 0,5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Mais de 72 horas -&gt; 0</w:t>
      </w:r>
    </w:p>
    <w:p w:rsidR="00000000" w:rsidDel="00000000" w:rsidP="00000000" w:rsidRDefault="00000000" w:rsidRPr="00000000" w14:paraId="00000020">
      <w:pPr>
        <w:spacing w:after="2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4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04"/>
        <w:tblGridChange w:id="0">
          <w:tblGrid>
            <w:gridCol w:w="2547"/>
            <w:gridCol w:w="6804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spacing w:after="200" w:before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DE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Tempo médio entre a data de entrada na RNDS e entrada no datalake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Mede a média dos dias decorridos entre o momento em que um registro é inserido na RNDS e o instante em que o mesmo registro é disponibilizado no datalake. Este indicador reflete a eficiência dos processos de ingestão e integração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sdt>
              <w:sdtPr>
                <w:id w:val="1822924610"/>
                <w:tag w:val="goog_rdk_10"/>
              </w:sdtPr>
              <w:sdtContent>
                <w:commentRangeStart w:id="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(confirmar como será feita a query na RNDS. Já vira com um campo adicional informando os registros com CNS, válidos e inválidos?)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CopiarEditar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SELECT AVG(DATEDIFF(day, dt_entrada_rnds, dt_entrada_datalake))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FROM tabela_registros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WHERE dt_entrada_rnds IS NOT NULL AND dt_entrada_datalake IS NOT NULL;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CopiarEditar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tempo_medio &lt;- mean(as.numeric(dados$dt_entrada_datalake - dados$dt_entrada_rnds), na.rm = TRUE)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DAX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CopiarEditar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TempoMedio = AVERAGEX(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FILTER(Tabela, NOT(ISBLANK(Tabela[dt_entrada_rnds])) &amp;&amp; NOT(ISBLANK(Tabela[dt_entrada_datalake]))),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DATEDIFF(Tabela[dt_entrada_rnds], Tabela[dt_entrada_datalake], DAY)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ind w:left="180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 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“dt_entrada_rnds” (Data de entrada na RNDS). “dt_entrada_datalake” (Data de entrada no datalake).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sdt>
              <w:sdtPr>
                <w:id w:val="-617798975"/>
                <w:tag w:val="goog_rdk_11"/>
              </w:sdtPr>
              <w:sdtContent>
                <w:commentRangeStart w:id="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a6a6a6"/>
                <w:rtl w:val="0"/>
              </w:rPr>
              <w:t xml:space="preserve">Tabela enriquecida da RNDS com dados do CADSUS, CNES, Terminologias e outros?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Todos da RNDS (Transversal)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Semanal, mensal, trimestral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Considerar somente registros com data efetivamente registrada em ambos os sistemas;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Validar que a data de entrada no datalake seja igual ou posterior à data de entrada na RNDS;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Excluir registros com campos nulos, inconsistentes ou com erro de formatação.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Valor numérico (em dias – pode ser apresentado como número decimal ou inteiro).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</w:t>
            </w:r>
            <w:r w:rsidDel="00000000" w:rsidR="00000000" w:rsidRPr="00000000">
              <w:rPr>
                <w:color w:val="a6a6a6"/>
                <w:rtl w:val="0"/>
              </w:rPr>
              <w:t xml:space="preserve">Data de entrada na RNDS </w:t>
            </w:r>
            <w:r w:rsidDel="00000000" w:rsidR="00000000" w:rsidRPr="00000000">
              <w:rPr>
                <w:rtl w:val="0"/>
              </w:rPr>
              <w:t xml:space="preserve">(Ano, mês, dia, trimestre), Sistema de Informação, Modelo Informacional.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Verificação de preenchimento dos campos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dt_entrada_rnds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dt_entrada_datalake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Assegurar integridade temporal: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dt_entrada_datalake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deve ser igual ou posterior à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dt_entrada_rnds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3">
            <w:pPr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Consistência dos dados entre os sistemas RNDS e datalake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Abril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estatísticos, sanitaristas, cientistas e engenheiros de dados, responsáveis pela construção e implantação do BI.</w:t>
            </w:r>
          </w:p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cientistas/engenheiros de dados, responsáveis por informar os requisitos, validar e utilizar os dados no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Dicionário de dados da RNDS;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Planilhas e documentos de referência para a integração de dados;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interna de governança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bookmarkStart w:colFirst="0" w:colLast="0" w:name="_heading=h.1aqb09l7dxjt" w:id="0"/>
            <w:bookmarkEnd w:id="0"/>
            <w:r w:rsidDel="00000000" w:rsidR="00000000" w:rsidRPr="00000000">
              <w:rPr>
                <w:rtl w:val="0"/>
              </w:rPr>
              <w:t xml:space="preserve">Código sugerido: i006dqotmf</w:t>
            </w:r>
          </w:p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(Onde: i = indicador; 002 = ordem; dq = dimensão de qualidade; ot = oportunidade; tmf = “o tempo médio de fluxo”)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10.06.2025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Tradução Ivan Bosnic e Kalinka G. de O. Gonçalves. Revisão técnica Kechi Hirama. São Paulo: Pearson Prentice Hall, 2011. Capítulo 4, p. 64-65. Organização da ficha de requisitos em norma IEEE para documentos de requisitos (IEEE, 1998), adaptada para painéis de BI em saúde.</w:t>
            </w:r>
          </w:p>
        </w:tc>
      </w:tr>
    </w:tbl>
    <w:p w:rsidR="00000000" w:rsidDel="00000000" w:rsidP="00000000" w:rsidRDefault="00000000" w:rsidRPr="00000000" w14:paraId="0000006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8" w:date="2026-01-23T14:08:40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 a linguagem de Cálculo</w:t>
      </w:r>
    </w:p>
  </w:comment>
  <w:comment w:author="Jessy Leal" w:id="0" w:date="2026-02-22T23:12:09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garantir o mesmo nível de comensurabilidade em todos os indicadores, é importante realizar um pequeno ajuste nesse indicador. Sujiro essa futura nomenclatura: Proporção de registros com tempo de disponibilização no Datalake inferior a 2 horas (por exempo). Precisamos fazer o exercício de entender qual o tempo que é considerado oportuno. Esse tempo oportuno ficará mais evidente após cálculo da média e mediana do tempo na amostra disponibilizada.</w:t>
      </w:r>
    </w:p>
  </w:comment>
  <w:comment w:author="Veridiana Ramalho" w:id="1" w:date="2026-03-06T12:19:14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acordo!</w:t>
      </w:r>
    </w:p>
  </w:comment>
  <w:comment w:author="Meta2 Susdigital" w:id="2" w:date="2026-03-06T18:09:30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👍</w:t>
      </w:r>
    </w:p>
  </w:comment>
  <w:comment w:author="Veridiana Ramalho" w:id="3" w:date="2026-03-13T14:42:33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Prezados, soube que esse indicador foi discutido em outras agendas, então peço que desconsideram minha consideração anterior e considerem os ajustes de hoje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Meta2 Susdigital reacted with 👍 at 2026-03-19 19:03 PM</w:t>
      </w:r>
    </w:p>
  </w:comment>
  <w:comment w:author="Veridiana Ramalho" w:id="4" w:date="2026-03-13T14:50:59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de disponibilização  &gt; Pontuação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9164755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≤ 1h  -&gt; 1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1h até 24 horas  -&gt; 0,8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24h a 72 horas -&gt; 0,5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de 72 horas -&gt; 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Meta2 Susdigital reacted with 👍 at 2026-03-19 19:01 PM</w:t>
      </w:r>
    </w:p>
  </w:comment>
  <w:comment w:author="Meta2 Susdigital" w:id="5" w:date="2026-03-19T19:02:47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Nesse caso seria interessante reformular a Conceituação, esse score reflete a media dos dias?</w:t>
      </w:r>
    </w:p>
  </w:comment>
  <w:comment w:author="Meta2 Susdigital" w:id="6" w:date="2026-03-27T13:35:20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Considerar a amostra para definir o Score de oportunidade e fazer uma classificação do tempo de disponibilização.</w:t>
      </w:r>
    </w:p>
  </w:comment>
  <w:comment w:author="Veridiana Ramalho" w:id="7" w:date="2026-03-06T12:40:10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 após alteração da nomenclatura do indicador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Meta2 Susdigital reacted with 👍 at 2026-03-19 19:04 PM</w:t>
      </w:r>
    </w:p>
  </w:comment>
  <w:comment w:author="Meta2 Susdigital" w:id="9" w:date="2026-01-23T14:12:12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Somente Tabelas do Redshift ou outras tabelas relacionadas? (Ex.: CNES)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B" w15:done="0"/>
  <w15:commentEx w15:paraId="0000006C" w15:done="0"/>
  <w15:commentEx w15:paraId="0000006D" w15:paraIdParent="0000006C" w15:done="0"/>
  <w15:commentEx w15:paraId="0000006E" w15:paraIdParent="0000006C" w15:done="0"/>
  <w15:commentEx w15:paraId="00000071" w15:paraIdParent="0000006C" w15:done="0"/>
  <w15:commentEx w15:paraId="0000007A" w15:paraIdParent="0000006C" w15:done="0"/>
  <w15:commentEx w15:paraId="0000007B" w15:paraIdParent="0000006C" w15:done="0"/>
  <w15:commentEx w15:paraId="0000007C" w15:paraIdParent="0000006C" w15:done="0"/>
  <w15:commentEx w15:paraId="0000007F" w15:done="0"/>
  <w15:commentEx w15:paraId="0000008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pPr>
      <w:spacing w:after="0" w:before="200"/>
      <w:outlineLvl w:val="6"/>
    </w:pPr>
    <w:rPr>
      <w:rFonts w:asciiTheme="majorHAnsi" w:hAnsiTheme="majorHAnsi"/>
      <w:i w:val="1"/>
      <w:color w:val="5d6d17" w:themeColor="accent3" w:themeShade="00007F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pPr>
      <w:spacing w:after="0" w:before="20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pPr>
      <w:spacing w:after="0" w:before="200"/>
      <w:outlineLvl w:val="8"/>
    </w:pPr>
    <w:rPr>
      <w:rFonts w:asciiTheme="majorHAnsi" w:hAnsiTheme="majorHAnsi"/>
      <w:i w:val="1"/>
      <w:color w:val="008890" w:themeColor="accent1"/>
      <w:spacing w:val="1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F1DCE"/>
    <w:rPr>
      <w:rFonts w:ascii="Franklin Gothic Book" w:cs="Times New Roman" w:hAnsi="Franklin Gothic Book"/>
      <w:color w:val="00656b" w:themeColor="accent1" w:themeShade="0000BF"/>
      <w:spacing w:val="20"/>
      <w:sz w:val="56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44"/>
      <w:szCs w:val="28"/>
    </w:rPr>
  </w:style>
  <w:style w:type="character" w:styleId="Ttulo3Char" w:customStyle="1">
    <w:name w:val="Título 3 Char"/>
    <w:basedOn w:val="Fontepargpadro"/>
    <w:link w:val="Ttulo3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36"/>
      <w:szCs w:val="24"/>
    </w:rPr>
  </w:style>
  <w:style w:type="character" w:styleId="TtuloChar" w:customStyle="1">
    <w:name w:val="Título Char"/>
    <w:basedOn w:val="Fontepargpadro"/>
    <w:link w:val="Ttulo"/>
    <w:uiPriority w:val="10"/>
    <w:rsid w:val="00814436"/>
    <w:rPr>
      <w:rFonts w:ascii="Franklin Gothic Demi Cond" w:cs="Times New Roman" w:hAnsi="Franklin Gothic Demi Cond"/>
      <w:b w:val="1"/>
      <w:bCs w:val="1"/>
      <w:color w:val="008890" w:themeColor="accent1"/>
      <w:sz w:val="80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7B346A"/>
    <w:rPr>
      <w:rFonts w:ascii="Franklin Gothic Book" w:hAnsi="Franklin Gothic Book" w:cstheme="minorHAnsi"/>
      <w:color w:val="7f7f7f" w:themeColor="text1" w:themeTint="000080"/>
      <w:sz w:val="44"/>
      <w:szCs w:val="24"/>
    </w:rPr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pPr>
      <w:spacing w:after="0" w:line="240" w:lineRule="auto"/>
    </w:pPr>
    <w:rPr>
      <w:bCs w:val="1"/>
      <w:smallCaps w:val="1"/>
      <w:color w:val="b3c225" w:themeColor="accent2" w:themeShade="0000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Pr>
      <w:rFonts w:ascii="Tahoma" w:cs="Tahoma" w:hAnsi="Tahoma"/>
      <w:color w:val="000000" w:themeColor="text1"/>
      <w:sz w:val="16"/>
      <w:szCs w:val="16"/>
    </w:rPr>
  </w:style>
  <w:style w:type="paragraph" w:styleId="Textoembloco">
    <w:name w:val="Block Text"/>
    <w:aliases w:val="Block Quote"/>
    <w:uiPriority w:val="40"/>
    <w:pPr>
      <w:pBdr>
        <w:top w:color="23f2ff" w:space="10" w:sz="2" w:themeColor="accent1" w:themeTint="000099" w:val="single"/>
        <w:bottom w:color="23f2ff" w:space="10" w:sz="24" w:themeColor="accent1" w:themeTint="000099" w:val="single"/>
      </w:pBdr>
      <w:spacing w:after="280" w:line="240" w:lineRule="auto"/>
      <w:ind w:left="1440" w:right="1440"/>
      <w:jc w:val="both"/>
    </w:pPr>
    <w:rPr>
      <w:rFonts w:cs="Times New Roman" w:eastAsia="Times New Roman"/>
      <w:color w:val="7f7f7f" w:themeColor="background1" w:themeShade="00007F"/>
      <w:sz w:val="28"/>
      <w:szCs w:val="28"/>
      <w:lang w:bidi="hi-IN" w:eastAsia="ko-KR"/>
    </w:rPr>
  </w:style>
  <w:style w:type="character" w:styleId="TtulodoLivro">
    <w:name w:val="Book Title"/>
    <w:basedOn w:val="Fontepargpadro"/>
    <w:uiPriority w:val="33"/>
    <w:qFormat w:val="1"/>
    <w:rPr>
      <w:rFonts w:cs="Times New Roman" w:asciiTheme="majorHAnsi" w:hAnsiTheme="majorHAnsi"/>
      <w:i w:val="1"/>
      <w:color w:val="855d5d" w:themeColor="accent6"/>
      <w:sz w:val="20"/>
      <w:szCs w:val="20"/>
    </w:rPr>
  </w:style>
  <w:style w:type="character" w:styleId="nfase">
    <w:name w:val="Emphasis"/>
    <w:uiPriority w:val="20"/>
    <w:qFormat w:val="1"/>
    <w:rPr>
      <w:b w:val="1"/>
      <w:i w:val="1"/>
      <w:color w:val="404040" w:themeColor="text1" w:themeTint="0000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320"/>
        <w:tab w:val="right" w:pos="8640"/>
      </w:tabs>
    </w:pPr>
  </w:style>
  <w:style w:type="character" w:styleId="CabealhoChar" w:customStyle="1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styleId="Ttulo4Char" w:customStyle="1">
    <w:name w:val="Título 4 Char"/>
    <w:basedOn w:val="Fontepargpadro"/>
    <w:link w:val="Ttulo4"/>
    <w:uiPriority w:val="9"/>
    <w:rPr>
      <w:rFonts w:cs="Times New Roman" w:asciiTheme="majorHAnsi" w:hAnsiTheme="majorHAnsi"/>
      <w:b w:val="1"/>
      <w:color w:val="8ca423" w:themeColor="accent3" w:themeShade="0000BF"/>
      <w:spacing w:val="20"/>
      <w:sz w:val="24"/>
    </w:rPr>
  </w:style>
  <w:style w:type="character" w:styleId="Ttulo5Char" w:customStyle="1">
    <w:name w:val="Título 5 Char"/>
    <w:basedOn w:val="Fontepargpadro"/>
    <w:link w:val="Ttulo5"/>
    <w:uiPriority w:val="9"/>
    <w:rPr>
      <w:rFonts w:cs="Times New Roman" w:asciiTheme="majorHAnsi" w:hAnsiTheme="majorHAnsi"/>
      <w:b w:val="1"/>
      <w:i w:val="1"/>
      <w:color w:val="8ca423" w:themeColor="accent3" w:themeShade="0000BF"/>
      <w:spacing w:val="20"/>
      <w:szCs w:val="26"/>
    </w:rPr>
  </w:style>
  <w:style w:type="character" w:styleId="Ttulo6Char" w:customStyle="1">
    <w:name w:val="Título 6 Char"/>
    <w:basedOn w:val="Fontepargpadro"/>
    <w:link w:val="Ttulo6"/>
    <w:uiPriority w:val="9"/>
    <w:rPr>
      <w:rFonts w:cs="Times New Roman" w:asciiTheme="majorHAnsi" w:hAnsiTheme="majorHAnsi"/>
      <w:color w:val="5d6d17" w:themeColor="accent3" w:themeShade="00007F"/>
      <w:spacing w:val="10"/>
      <w:sz w:val="24"/>
      <w:szCs w:val="20"/>
    </w:rPr>
  </w:style>
  <w:style w:type="character" w:styleId="Ttulo7Char" w:customStyle="1">
    <w:name w:val="Título 7 Char"/>
    <w:basedOn w:val="Fontepargpadro"/>
    <w:link w:val="Ttulo7"/>
    <w:uiPriority w:val="9"/>
    <w:rPr>
      <w:rFonts w:cs="Times New Roman" w:asciiTheme="majorHAnsi" w:hAnsiTheme="majorHAnsi"/>
      <w:i w:val="1"/>
      <w:color w:val="5d6d17" w:themeColor="accent3" w:themeShade="00007F"/>
      <w:spacing w:val="10"/>
      <w:sz w:val="24"/>
      <w:szCs w:val="20"/>
    </w:rPr>
  </w:style>
  <w:style w:type="character" w:styleId="Ttulo8Char" w:customStyle="1">
    <w:name w:val="Título 8 Char"/>
    <w:basedOn w:val="Fontepargpadro"/>
    <w:link w:val="Ttulo8"/>
    <w:uiPriority w:val="9"/>
    <w:rPr>
      <w:rFonts w:cs="Times New Roman" w:asciiTheme="majorHAnsi" w:hAnsiTheme="majorHAnsi"/>
      <w:color w:val="008890" w:themeColor="accent1"/>
      <w:spacing w:val="10"/>
      <w:szCs w:val="20"/>
    </w:rPr>
  </w:style>
  <w:style w:type="character" w:styleId="Ttulo9Char" w:customStyle="1">
    <w:name w:val="Título 9 Char"/>
    <w:basedOn w:val="Fontepargpadro"/>
    <w:link w:val="Ttulo9"/>
    <w:uiPriority w:val="9"/>
    <w:rPr>
      <w:rFonts w:cs="Times New Roman" w:asciiTheme="majorHAnsi" w:hAnsiTheme="majorHAnsi"/>
      <w:i w:val="1"/>
      <w:color w:val="008890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 w:val="1"/>
    <w:rPr>
      <w:rFonts w:cs="Times New Roman" w:asciiTheme="minorHAnsi" w:hAnsiTheme="minorHAnsi"/>
      <w:b w:val="1"/>
      <w:i w:val="1"/>
      <w:smallCaps w:val="1"/>
      <w:color w:val="d2df57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link w:val="CitaoIntensaChar"/>
    <w:uiPriority w:val="30"/>
    <w:qFormat w:val="1"/>
    <w:pPr>
      <w:pBdr>
        <w:top w:color="23f2ff" w:space="10" w:sz="36" w:themeColor="accent1" w:themeTint="000099" w:val="single"/>
        <w:left w:color="008890" w:space="10" w:sz="24" w:themeColor="accent1" w:val="single"/>
        <w:bottom w:color="b7d438" w:space="10" w:sz="36" w:themeColor="accent3" w:val="single"/>
        <w:right w:color="008890" w:space="10" w:sz="24" w:themeColor="accent1" w:val="single"/>
      </w:pBdr>
      <w:shd w:color="auto" w:fill="008890" w:themeFill="accent1" w:val="clear"/>
      <w:ind w:left="1440" w:right="1440"/>
      <w:jc w:val="center"/>
    </w:pPr>
    <w:rPr>
      <w:rFonts w:asciiTheme="majorHAnsi" w:hAnsiTheme="majorHAnsi"/>
      <w:i w:val="1"/>
      <w:color w:val="ffffff" w:themeColor="background1"/>
      <w:sz w:val="32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rFonts w:cs="Times New Roman" w:asciiTheme="majorHAnsi" w:hAnsiTheme="majorHAnsi"/>
      <w:i w:val="1"/>
      <w:color w:val="ffffff" w:themeColor="background1"/>
      <w:sz w:val="32"/>
      <w:szCs w:val="20"/>
      <w:shd w:color="auto" w:fill="008890" w:themeFill="accent1" w:val="clear"/>
    </w:rPr>
  </w:style>
  <w:style w:type="character" w:styleId="RefernciaIntensa">
    <w:name w:val="Intense Reference"/>
    <w:basedOn w:val="Fontepargpadro"/>
    <w:uiPriority w:val="32"/>
    <w:qFormat w:val="1"/>
    <w:rPr>
      <w:rFonts w:cs="Times New Roman"/>
      <w:b w:val="1"/>
      <w:color w:val="008890" w:themeColor="accent1"/>
      <w:sz w:val="22"/>
      <w:szCs w:val="20"/>
      <w:u w:val="single"/>
    </w:rPr>
  </w:style>
  <w:style w:type="paragraph" w:styleId="Commarcadores">
    <w:name w:val="List Bullet"/>
    <w:basedOn w:val="Normal"/>
    <w:uiPriority w:val="36"/>
    <w:unhideWhenUsed w:val="1"/>
    <w:qFormat w:val="1"/>
    <w:pPr>
      <w:numPr>
        <w:numId w:val="11"/>
      </w:numPr>
      <w:spacing w:after="0"/>
      <w:contextualSpacing w:val="1"/>
    </w:pPr>
  </w:style>
  <w:style w:type="paragraph" w:styleId="Commarcadores2">
    <w:name w:val="List Bullet 2"/>
    <w:basedOn w:val="Normal"/>
    <w:uiPriority w:val="36"/>
    <w:unhideWhenUsed w:val="1"/>
    <w:qFormat w:val="1"/>
    <w:pPr>
      <w:numPr>
        <w:numId w:val="12"/>
      </w:numPr>
      <w:spacing w:after="0"/>
    </w:pPr>
  </w:style>
  <w:style w:type="paragraph" w:styleId="Commarcadores3">
    <w:name w:val="List Bullet 3"/>
    <w:basedOn w:val="Normal"/>
    <w:uiPriority w:val="36"/>
    <w:unhideWhenUsed w:val="1"/>
    <w:qFormat w:val="1"/>
    <w:pPr>
      <w:numPr>
        <w:numId w:val="13"/>
      </w:numPr>
      <w:spacing w:after="0"/>
    </w:pPr>
  </w:style>
  <w:style w:type="paragraph" w:styleId="Commarcadores4">
    <w:name w:val="List Bullet 4"/>
    <w:basedOn w:val="Normal"/>
    <w:uiPriority w:val="36"/>
    <w:unhideWhenUsed w:val="1"/>
    <w:qFormat w:val="1"/>
    <w:pPr>
      <w:numPr>
        <w:numId w:val="14"/>
      </w:numPr>
      <w:spacing w:after="0"/>
    </w:pPr>
  </w:style>
  <w:style w:type="paragraph" w:styleId="Commarcadores5">
    <w:name w:val="List Bullet 5"/>
    <w:basedOn w:val="Normal"/>
    <w:uiPriority w:val="36"/>
    <w:unhideWhenUsed w:val="1"/>
    <w:qFormat w:val="1"/>
    <w:pPr>
      <w:numPr>
        <w:numId w:val="15"/>
      </w:numPr>
      <w:spacing w:after="0"/>
    </w:pPr>
  </w:style>
  <w:style w:type="paragraph" w:styleId="SemEspaamento">
    <w:name w:val="No Spacing"/>
    <w:basedOn w:val="Normal"/>
    <w:uiPriority w:val="1"/>
    <w:qFormat w:val="1"/>
    <w:rsid w:val="00C77D65"/>
    <w:pPr>
      <w:spacing w:after="0" w:line="240" w:lineRule="auto"/>
    </w:pPr>
    <w:rPr>
      <w:b w:val="1"/>
      <w:color w:val="004348" w:themeColor="accent1" w:themeShade="000080"/>
    </w:rPr>
  </w:style>
  <w:style w:type="character" w:styleId="TextodoEspaoReservado">
    <w:name w:val="Placeholder Text"/>
    <w:basedOn w:val="Fontepargpadro"/>
    <w:uiPriority w:val="99"/>
    <w:semiHidden w:val="1"/>
    <w:rPr>
      <w:color w:val="808080"/>
    </w:rPr>
  </w:style>
  <w:style w:type="paragraph" w:styleId="Citao">
    <w:name w:val="Quote"/>
    <w:basedOn w:val="Normal"/>
    <w:link w:val="CitaoChar"/>
    <w:uiPriority w:val="29"/>
    <w:qFormat w:val="1"/>
    <w:rPr>
      <w:i w:val="1"/>
      <w:color w:val="7f7f7f" w:themeColor="background1" w:themeShade="00007F"/>
      <w:sz w:val="24"/>
    </w:rPr>
  </w:style>
  <w:style w:type="character" w:styleId="CitaoChar" w:customStyle="1">
    <w:name w:val="Citação Char"/>
    <w:basedOn w:val="Fontepargpadro"/>
    <w:link w:val="Citao"/>
    <w:uiPriority w:val="29"/>
    <w:rPr>
      <w:rFonts w:cs="Times New Roman"/>
      <w:i w:val="1"/>
      <w:color w:val="7f7f7f" w:themeColor="background1" w:themeShade="00007F"/>
      <w:sz w:val="24"/>
      <w:szCs w:val="20"/>
    </w:rPr>
  </w:style>
  <w:style w:type="character" w:styleId="Forte">
    <w:name w:val="Strong"/>
    <w:uiPriority w:val="22"/>
    <w:qFormat w:val="1"/>
    <w:rPr>
      <w:rFonts w:asciiTheme="minorHAnsi" w:hAnsiTheme="minorHAnsi"/>
      <w:b w:val="1"/>
      <w:color w:val="d2df57" w:themeColor="accent2"/>
    </w:rPr>
  </w:style>
  <w:style w:type="character" w:styleId="nfaseSutil">
    <w:name w:val="Subtle Emphasis"/>
    <w:basedOn w:val="Fontepargpadro"/>
    <w:uiPriority w:val="19"/>
    <w:qFormat w:val="1"/>
    <w:rPr>
      <w:rFonts w:cs="Times New Roman" w:asciiTheme="minorHAnsi" w:hAnsiTheme="minorHAnsi"/>
      <w:i w:val="1"/>
      <w:color w:val="737373" w:themeColor="text1" w:themeTint="00008C"/>
      <w:spacing w:val="2"/>
      <w:w w:val="100"/>
      <w:kern w:val="0"/>
      <w:sz w:val="22"/>
      <w:szCs w:val="24"/>
    </w:rPr>
  </w:style>
  <w:style w:type="character" w:styleId="RefernciaSutil">
    <w:name w:val="Subtle Reference"/>
    <w:basedOn w:val="Fontepargpadro"/>
    <w:uiPriority w:val="31"/>
    <w:qFormat w:val="1"/>
    <w:rPr>
      <w:rFonts w:cs="Times New Roman"/>
      <w:color w:val="737373" w:themeColor="text1" w:themeTint="00008C"/>
      <w:sz w:val="22"/>
      <w:szCs w:val="20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rPr>
      <w:rFonts w:cstheme="minorHAnsi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mrio1">
    <w:name w:val="toc 1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</w:pPr>
    <w:rPr>
      <w:smallCaps w:val="1"/>
      <w:noProof w:val="1"/>
      <w:color w:val="d2df57" w:themeColor="accent2"/>
    </w:rPr>
  </w:style>
  <w:style w:type="paragraph" w:styleId="Sumrio2">
    <w:name w:val="toc 2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  <w:ind w:left="216"/>
    </w:pPr>
    <w:rPr>
      <w:smallCaps w:val="1"/>
      <w:noProof w:val="1"/>
    </w:rPr>
  </w:style>
  <w:style w:type="paragraph" w:styleId="Sumrio3">
    <w:name w:val="toc 3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446"/>
    </w:pPr>
    <w:rPr>
      <w:smallCaps w:val="1"/>
      <w:noProof w:val="1"/>
    </w:rPr>
  </w:style>
  <w:style w:type="paragraph" w:styleId="Sumrio4">
    <w:name w:val="toc 4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662"/>
    </w:pPr>
    <w:rPr>
      <w:smallCaps w:val="1"/>
      <w:noProof w:val="1"/>
    </w:rPr>
  </w:style>
  <w:style w:type="paragraph" w:styleId="Sumrio5">
    <w:name w:val="toc 5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878"/>
    </w:pPr>
    <w:rPr>
      <w:smallCaps w:val="1"/>
      <w:noProof w:val="1"/>
    </w:rPr>
  </w:style>
  <w:style w:type="paragraph" w:styleId="Sumrio6">
    <w:name w:val="toc 6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094"/>
    </w:pPr>
    <w:rPr>
      <w:smallCaps w:val="1"/>
      <w:noProof w:val="1"/>
    </w:rPr>
  </w:style>
  <w:style w:type="paragraph" w:styleId="Sumrio7">
    <w:name w:val="toc 7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325"/>
    </w:pPr>
    <w:rPr>
      <w:smallCaps w:val="1"/>
      <w:noProof w:val="1"/>
    </w:rPr>
  </w:style>
  <w:style w:type="paragraph" w:styleId="Sumrio8">
    <w:name w:val="toc 8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540"/>
    </w:pPr>
    <w:rPr>
      <w:smallCaps w:val="1"/>
      <w:noProof w:val="1"/>
    </w:rPr>
  </w:style>
  <w:style w:type="paragraph" w:styleId="Sumrio9">
    <w:name w:val="toc 9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760"/>
    </w:pPr>
    <w:rPr>
      <w:smallCaps w:val="1"/>
      <w:noProof w:val="1"/>
    </w:rPr>
  </w:style>
  <w:style w:type="character" w:styleId="Hyperlink">
    <w:name w:val="Hyperlink"/>
    <w:basedOn w:val="Fontepargpadro"/>
    <w:uiPriority w:val="99"/>
    <w:unhideWhenUsed w:val="1"/>
    <w:rPr>
      <w:color w:val="cc9900" w:themeColor="hyperlink"/>
      <w:u w:val="single"/>
    </w:rPr>
  </w:style>
  <w:style w:type="table" w:styleId="TabelaSimples4">
    <w:name w:val="Plain Table 4"/>
    <w:basedOn w:val="Tabela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3E05C1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DF141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skx6ZFGX20KGG12eVLSAMFaIA==">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2025-04-10T20:25:00Z</dcterms:created>
  <dc:creator>HP</dc:creator>
</cp:coreProperties>
</file>