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841" w:tblpY="10467"/>
        <w:tblW w:w="11076.0" w:type="dxa"/>
        <w:jc w:val="left"/>
        <w:tblLayout w:type="fixed"/>
        <w:tblLook w:val="04A0"/>
      </w:tblPr>
      <w:tblGrid>
        <w:gridCol w:w="11076"/>
        <w:tblGridChange w:id="0">
          <w:tblGrid>
            <w:gridCol w:w="11076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2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915150" cy="823175"/>
                      <wp:effectExtent b="0" l="0" r="0" t="0"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1897950" y="3377938"/>
                                <a:ext cx="6896100" cy="804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80"/>
                                      <w:vertAlign w:val="baseline"/>
                                    </w:rPr>
                                    <w:t xml:space="preserve">Ficha de qualificação e requisitos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915150" cy="823175"/>
                      <wp:effectExtent b="0" l="0" r="0" t="0"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915150" cy="8231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5588000" cy="458437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2561525" y="3560307"/>
                                <a:ext cx="55689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Indicadores de Qualidade de Dados da RNDS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588000" cy="458437"/>
                      <wp:effectExtent b="0" l="0" r="0" t="0"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588000" cy="45843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after="200" w:lineRule="auto"/>
              <w:rPr>
                <w:smallCaps w:val="1"/>
              </w:rPr>
            </w:pPr>
            <w:r w:rsidDel="00000000" w:rsidR="00000000" w:rsidRPr="00000000">
              <w:rPr>
                <w:smallCaps w:val="1"/>
              </w:rPr>
              <mc:AlternateContent>
                <mc:Choice Requires="wpg">
                  <w:drawing>
                    <wp:inline distB="0" distT="0" distL="0" distR="0">
                      <wp:extent cx="6375400" cy="458437"/>
                      <wp:effectExtent b="0" l="0" r="0" t="0"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2167825" y="3560307"/>
                                <a:ext cx="635635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48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ibre Franklin" w:cs="Libre Franklin" w:eastAsia="Libre Franklin" w:hAnsi="Libre Franklin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44"/>
                                      <w:vertAlign w:val="baseline"/>
                                    </w:rPr>
                                    <w:t xml:space="preserve">2025 | Por: Meta 2 – Índice de qualidade de dados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6375400" cy="458437"/>
                      <wp:effectExtent b="0" l="0" r="0" t="0"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75400" cy="45843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-1114422</wp:posOffset>
                </wp:positionH>
                <wp:positionV relativeFrom="paragraph">
                  <wp:posOffset>4416425</wp:posOffset>
                </wp:positionV>
                <wp:extent cx="7795260" cy="5353050"/>
                <wp:effectExtent b="0" l="0" r="0" t="0"/>
                <wp:wrapNone/>
                <wp:docPr descr="retângulo"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457895" y="1113000"/>
                          <a:ext cx="7776210" cy="5334000"/>
                        </a:xfrm>
                        <a:prstGeom prst="rect">
                          <a:avLst/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-1114422</wp:posOffset>
                </wp:positionH>
                <wp:positionV relativeFrom="paragraph">
                  <wp:posOffset>4416425</wp:posOffset>
                </wp:positionV>
                <wp:extent cx="7795260" cy="5353050"/>
                <wp:effectExtent b="0" l="0" r="0" t="0"/>
                <wp:wrapNone/>
                <wp:docPr descr="retângulo" id="6" name="image7.png"/>
                <a:graphic>
                  <a:graphicData uri="http://schemas.openxmlformats.org/drawingml/2006/picture">
                    <pic:pic>
                      <pic:nvPicPr>
                        <pic:cNvPr descr="retângulo"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95260" cy="5353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-917571</wp:posOffset>
                </wp:positionH>
                <wp:positionV relativeFrom="paragraph">
                  <wp:posOffset>-968371</wp:posOffset>
                </wp:positionV>
                <wp:extent cx="7795260" cy="1193800"/>
                <wp:effectExtent b="0" l="0" r="0" t="0"/>
                <wp:wrapNone/>
                <wp:docPr descr="retângulo"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457895" y="3192625"/>
                          <a:ext cx="7776210" cy="1174750"/>
                        </a:xfrm>
                        <a:prstGeom prst="rect">
                          <a:avLst/>
                        </a:prstGeom>
                        <a:solidFill>
                          <a:srgbClr val="2F559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-917571</wp:posOffset>
                </wp:positionH>
                <wp:positionV relativeFrom="paragraph">
                  <wp:posOffset>-968371</wp:posOffset>
                </wp:positionV>
                <wp:extent cx="7795260" cy="1193800"/>
                <wp:effectExtent b="0" l="0" r="0" t="0"/>
                <wp:wrapNone/>
                <wp:docPr descr="retângulo" id="7" name="image8.png"/>
                <a:graphic>
                  <a:graphicData uri="http://schemas.openxmlformats.org/drawingml/2006/picture">
                    <pic:pic>
                      <pic:nvPicPr>
                        <pic:cNvPr descr="retângulo"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95260" cy="1193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-914398</wp:posOffset>
            </wp:positionH>
            <wp:positionV relativeFrom="paragraph">
              <wp:posOffset>196850</wp:posOffset>
            </wp:positionV>
            <wp:extent cx="7549205" cy="4235450"/>
            <wp:effectExtent b="0" l="0" r="0" t="0"/>
            <wp:wrapSquare wrapText="bothSides" distB="0" distT="0" distL="114300" distR="114300"/>
            <wp:docPr descr="Interface gráfica do usuário, Site  O conteúdo gerado por IA pode estar incorreto." id="8" name="image1.png"/>
            <a:graphic>
              <a:graphicData uri="http://schemas.openxmlformats.org/drawingml/2006/picture">
                <pic:pic>
                  <pic:nvPicPr>
                    <pic:cNvPr descr="Interface gráfica do usuário, Site  O conteúdo gerado por IA pode estar incorreto.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9205" cy="4235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bottom w:color="000000" w:space="1" w:sz="4" w:val="single"/>
        </w:pBd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FICHA DE QUALIFICAÇÃO</w:t>
      </w:r>
    </w:p>
    <w:p w:rsidR="00000000" w:rsidDel="00000000" w:rsidP="00000000" w:rsidRDefault="00000000" w:rsidRPr="00000000" w14:paraId="00000008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i005dqabmitv –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Percentual de registros da RNDS acessíveis para Profissionais, Gestores e Cidadãos (Plataformas digitais)</w:t>
      </w:r>
    </w:p>
    <w:p w:rsidR="00000000" w:rsidDel="00000000" w:rsidP="00000000" w:rsidRDefault="00000000" w:rsidRPr="00000000" w14:paraId="0000000A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Conceituação</w:t>
      </w:r>
    </w:p>
    <w:p w:rsidR="00000000" w:rsidDel="00000000" w:rsidP="00000000" w:rsidRDefault="00000000" w:rsidRPr="00000000" w14:paraId="0000000C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Mede a proporção de registros da RNDS acessíveis para Profissionais, Gestores e Cidadãos </w:t>
      </w:r>
      <w:sdt>
        <w:sdtPr>
          <w:id w:val="-502148638"/>
          <w:tag w:val="goog_rdk_0"/>
        </w:sdtPr>
        <w:sdtContent>
          <w:commentRangeStart w:id="0"/>
        </w:sdtContent>
      </w:sdt>
      <w:sdt>
        <w:sdtPr>
          <w:id w:val="1801444293"/>
          <w:tag w:val="goog_rdk_1"/>
        </w:sdtPr>
        <w:sdtContent>
          <w:commentRangeStart w:id="1"/>
        </w:sdtContent>
      </w:sdt>
      <w:r w:rsidDel="00000000" w:rsidR="00000000" w:rsidRPr="00000000">
        <w:rPr>
          <w:rtl w:val="0"/>
        </w:rPr>
        <w:t xml:space="preserve">(Plataformas di</w:t>
      </w:r>
      <w:sdt>
        <w:sdtPr>
          <w:id w:val="883094033"/>
          <w:tag w:val="goog_rdk_2"/>
        </w:sdtPr>
        <w:sdtContent>
          <w:commentRangeStart w:id="2"/>
        </w:sdtContent>
      </w:sdt>
      <w:sdt>
        <w:sdtPr>
          <w:id w:val="-1534155525"/>
          <w:tag w:val="goog_rdk_3"/>
        </w:sdtPr>
        <w:sdtContent>
          <w:commentRangeStart w:id="3"/>
        </w:sdtContent>
      </w:sdt>
      <w:sdt>
        <w:sdtPr>
          <w:id w:val="-158054900"/>
          <w:tag w:val="goog_rdk_4"/>
        </w:sdtPr>
        <w:sdtContent>
          <w:commentRangeStart w:id="4"/>
        </w:sdtContent>
      </w:sdt>
      <w:sdt>
        <w:sdtPr>
          <w:id w:val="937118052"/>
          <w:tag w:val="goog_rdk_5"/>
        </w:sdtPr>
        <w:sdtContent>
          <w:commentRangeStart w:id="5"/>
        </w:sdtContent>
      </w:sdt>
      <w:sdt>
        <w:sdtPr>
          <w:id w:val="-101470204"/>
          <w:tag w:val="goog_rdk_6"/>
        </w:sdtPr>
        <w:sdtContent>
          <w:commentRangeStart w:id="6"/>
        </w:sdtContent>
      </w:sdt>
      <w:r w:rsidDel="00000000" w:rsidR="00000000" w:rsidRPr="00000000">
        <w:rPr>
          <w:rtl w:val="0"/>
        </w:rPr>
        <w:t xml:space="preserve">gitais).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Interpretaç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Este indicador reflete a </w:t>
      </w:r>
      <w:r w:rsidDel="00000000" w:rsidR="00000000" w:rsidRPr="00000000">
        <w:rPr>
          <w:rtl w:val="0"/>
        </w:rPr>
        <w:t xml:space="preserve">acessibilidade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dos processos de ingestão e integração dos dados.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Usos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Avaliar a acessibilidade de saída dos dados nos modelos informacionais da RNDS;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Monitorar a efetividade da integração com os sistemas de origem;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Apoiar estratégias de interoperabilidade e unificação dos registros do usuário.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00" w:lineRule="auto"/>
        <w:ind w:left="720" w:hanging="360"/>
        <w:rPr>
          <w:b w:val="1"/>
          <w:bCs w:val="1"/>
          <w:highlight w:val="lightGray"/>
        </w:rPr>
      </w:pPr>
      <w:r w:rsidDel="00000000" w:rsidR="00000000" w:rsidRPr="00000000">
        <w:rPr>
          <w:b w:val="1"/>
          <w:bCs w:val="1"/>
          <w:highlight w:val="lightGray"/>
          <w:rtl w:val="0"/>
        </w:rPr>
        <w:t xml:space="preserve">Limitações</w:t>
      </w:r>
    </w:p>
    <w:p w:rsidR="00000000" w:rsidDel="00000000" w:rsidP="00000000" w:rsidRDefault="00000000" w:rsidRPr="00000000" w14:paraId="00000016">
      <w:pPr>
        <w:spacing w:after="200" w:lineRule="auto"/>
        <w:ind w:left="720" w:firstLine="0"/>
        <w:rPr>
          <w:b w:val="1"/>
          <w:bCs w:val="1"/>
          <w:highlight w:val="lightGray"/>
        </w:rPr>
      </w:pPr>
      <w:r w:rsidDel="00000000" w:rsidR="00000000" w:rsidRPr="00000000">
        <w:rPr>
          <w:b w:val="1"/>
          <w:bCs w:val="1"/>
          <w:highlight w:val="lightGray"/>
          <w:rtl w:val="0"/>
        </w:rPr>
        <w:t xml:space="preserve">DESCREVER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Fonte</w:t>
      </w:r>
    </w:p>
    <w:p w:rsidR="00000000" w:rsidDel="00000000" w:rsidP="00000000" w:rsidRDefault="00000000" w:rsidRPr="00000000" w14:paraId="00000018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Todos os Modelos Informacionais da RNDS.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 de Cálculo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Número de registros acessíveis / Total de registros * 100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Categorias sugeridas para análise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Unidade geográfica (Região, UF, município, estabelecimento de saúde).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Unidade de análise (Modelo Informacional, SIS).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Período (mensal, trimestral, anual).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Referência</w:t>
      </w:r>
    </w:p>
    <w:p w:rsidR="00000000" w:rsidDel="00000000" w:rsidP="00000000" w:rsidRDefault="00000000" w:rsidRPr="00000000" w14:paraId="00000022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Modelo da Ficha de Qualificação de Indicadores (FQI). RIPSA – Rede Interagencial de Informações para a Saúde. Disponível em: https://www.ripsa.org.br/indicadores/fqi/. </w:t>
        <w:br w:type="textWrapping"/>
        <w:t xml:space="preserve">Modelo aplicado: </w:t>
      </w:r>
      <w:hyperlink r:id="rId11">
        <w:r w:rsidDel="00000000" w:rsidR="00000000" w:rsidRPr="00000000">
          <w:rPr>
            <w:rtl w:val="0"/>
          </w:rPr>
          <w:t xml:space="preserve">http://tabnet.datasus.gov.br/tabdata/livroidb/2ed/indicadores.pdf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3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Acesso em: 10 abr. 2025.</w:t>
      </w:r>
    </w:p>
    <w:p w:rsidR="00000000" w:rsidDel="00000000" w:rsidP="00000000" w:rsidRDefault="00000000" w:rsidRPr="00000000" w14:paraId="00000024">
      <w:pPr>
        <w:spacing w:after="20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6804"/>
        <w:tblGridChange w:id="0">
          <w:tblGrid>
            <w:gridCol w:w="2547"/>
            <w:gridCol w:w="6804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9">
            <w:pPr>
              <w:spacing w:after="200" w:before="20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FICHA DE REQUISITOS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 do Indicador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Percentual de registros da RNDS acessíveis para Profissionais, Gestores e Cidadãos (Plataformas digitais)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Descrição Técnica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Mede a proporção de registros da RNDS acessíveis para Profissionais, Gestores e Cidadãos (Plataformas digitais).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Fórmula de Cálculo </w:t>
            </w:r>
            <w:r w:rsidDel="00000000" w:rsidR="00000000" w:rsidRPr="00000000">
              <w:rPr>
                <w:i w:val="1"/>
                <w:iCs w:val="1"/>
                <w:color w:val="a6a6a6"/>
                <w:rtl w:val="0"/>
              </w:rPr>
              <w:t xml:space="preserve">(confirmar como será feita a query na RNDS.)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Campos Necessários </w:t>
            </w:r>
          </w:p>
          <w:p w:rsidR="00000000" w:rsidDel="00000000" w:rsidP="00000000" w:rsidRDefault="00000000" w:rsidRPr="00000000" w14:paraId="00000035">
            <w:pPr>
              <w:spacing w:after="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color w:val="bfbfb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Tabelas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color w:val="a6a6a6"/>
                <w:rtl w:val="0"/>
              </w:rPr>
              <w:t xml:space="preserve">Tabela enriquecida da RNDS com dados do CADSUS, CNES, Terminologias e outros?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Sistema de Origem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Todos da RNDS (Transversal)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Período de Atualização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Mensal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Regras de Negócio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Tipo de Dado Esperado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Percentual.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Desagregações Possíveis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UF, Município, Estabelecimento de Saúde, </w:t>
            </w:r>
            <w:r w:rsidDel="00000000" w:rsidR="00000000" w:rsidRPr="00000000">
              <w:rPr>
                <w:color w:val="a6a6a6"/>
                <w:rtl w:val="0"/>
              </w:rPr>
              <w:t xml:space="preserve">Data de entrada na RNDS </w:t>
            </w:r>
            <w:r w:rsidDel="00000000" w:rsidR="00000000" w:rsidRPr="00000000">
              <w:rPr>
                <w:rtl w:val="0"/>
              </w:rPr>
              <w:t xml:space="preserve">(Ano, mês, dia, trimestre), Sistema de Informação, Modelo Informacional.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Validações Esperadas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4">
            <w:pPr>
              <w:rPr>
                <w:highlight w:val="lightGr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Data de Implantação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Abril de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Responsável Técnico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Equipe ISC/UFBA na Meta 2 – composta por estatísticos, sanitaristas, cientistas e engenheiros de dados, responsáveis pela construção e implantação do BI.</w:t>
            </w:r>
          </w:p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Equipe do Ministério da Saúde – composta por sanitaristas e cientistas/engenheiros de dados, responsáveis por informar os requisitos, validar e utilizar os dados no BI.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Fonte Complementar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Dicionário de dados da RNDS;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Planilhas e documentos de referência para a integração de dados;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Documentação interna de governança dos dados.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do indicador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/>
            </w:pPr>
            <w:bookmarkStart w:colFirst="0" w:colLast="0" w:name="_heading=h.sw5laxdxnqsi" w:id="0"/>
            <w:bookmarkEnd w:id="0"/>
            <w:r w:rsidDel="00000000" w:rsidR="00000000" w:rsidRPr="00000000">
              <w:rPr>
                <w:rtl w:val="0"/>
              </w:rPr>
              <w:t xml:space="preserve">Código sugerido: i008dqabmitv</w:t>
            </w:r>
          </w:p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(Onde: i = indicador; 008 = ordem; dq = dimensão de qualidade; ab = acessibilidade; tv = transversal ao modelo)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Versão da ficha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Versão 1.0 em 10.06.2025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Referência Técnica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SOMMERVILLE, Ian. Engenharia de Software. 9ª ed. Tradução Ivan Bosnic e Kalinka G. de O. Gonçalves. Revisão técnica Kechi Hirama. São Paulo: Pearson Prentice Hall, 2011. Capítulo 4, p. 64-65. Organização da ficha de requisitos em norma IEEE para documentos de requisitos (IEEE, 1998), adaptada para painéis de BI em saúde.</w:t>
            </w:r>
          </w:p>
        </w:tc>
      </w:tr>
    </w:tbl>
    <w:p w:rsidR="00000000" w:rsidDel="00000000" w:rsidP="00000000" w:rsidRDefault="00000000" w:rsidRPr="00000000" w14:paraId="00000058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12" w:type="default"/>
      <w:footerReference r:id="rId13" w:type="even"/>
      <w:pgSz w:h="16838" w:w="11906" w:orient="portrait"/>
      <w:pgMar w:bottom="993" w:top="1134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eta2 Susdigital" w:id="0" w:date="2026-04-06T19:04:30Z"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plataformas digitais?</w:t>
      </w:r>
    </w:p>
  </w:comment>
  <w:comment w:author="Paulo Jorge Souza Vianna" w:id="1" w:date="2026-04-09T19:09:07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 indicador será removido ou modificado com base nas considerações abaixo da Equipe.</w:t>
      </w:r>
    </w:p>
  </w:comment>
  <w:comment w:author="Jessy Leal" w:id="2" w:date="2026-03-12T23:38:45Z"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Lembro que discutimos esse indicador. É possível medi-lo a partir da amostra de dados que será cedida?</w:t>
      </w:r>
    </w:p>
  </w:comment>
  <w:comment w:author="Veridiana Ramalho" w:id="3" w:date="2026-03-13T14:59:15Z"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Remover o indicador, visto que os dados disseminados nas Plataformas SUS Digital (Meu SUS Digital e SUS Digital Profissional) são obtidos diretamente da RNDS. Além disso, 100% dos registros disponíveis no redshift serão disponibilizados no SUS Digital Gestor.</w:t>
      </w:r>
    </w:p>
  </w:comment>
  <w:comment w:author="Veridiana Ramalho" w:id="4" w:date="2026-03-13T15:07:59Z"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agenda, tínhamos conversado de substituir esse por proporção de registros de vacina de febre amarela adequados para emissão de CIVP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total reaction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Jessy Leal reacted with 👏 at 2026-03-20 13:55 PM</w:t>
      </w:r>
    </w:p>
  </w:comment>
  <w:comment w:author="Meta2 Susdigital" w:id="5" w:date="2026-03-19T19:15:19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Sim, essa discussão ficou em aberto. Esse seria o único registro capaz de monitorar acessibilidade para as Plataformas?</w:t>
      </w:r>
    </w:p>
  </w:comment>
  <w:comment w:author="Meta2 Susdigital" w:id="6" w:date="2026-03-20T14:25:39Z"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Construir uma ficha preliminar com outra Dimensão.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C" w15:done="0"/>
  <w15:commentEx w15:paraId="0000005D" w15:paraIdParent="0000005C" w15:done="0"/>
  <w15:commentEx w15:paraId="0000005E" w15:done="0"/>
  <w15:commentEx w15:paraId="0000005F" w15:paraIdParent="0000005E" w15:done="0"/>
  <w15:commentEx w15:paraId="00000062" w15:paraIdParent="0000005E" w15:done="0"/>
  <w15:commentEx w15:paraId="00000063" w15:paraIdParent="0000005E" w15:done="0"/>
  <w15:commentEx w15:paraId="00000064" w15:paraIdParent="0000005E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Arial Black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6880509</wp:posOffset>
              </wp:positionH>
              <wp:positionV relativeFrom="paragraph">
                <wp:posOffset>208839</wp:posOffset>
              </wp:positionV>
              <wp:extent cx="539750" cy="53975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6880509</wp:posOffset>
              </wp:positionH>
              <wp:positionV relativeFrom="paragraph">
                <wp:posOffset>208839</wp:posOffset>
              </wp:positionV>
              <wp:extent cx="539750" cy="53975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9750" cy="539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6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6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6918326</wp:posOffset>
              </wp:positionH>
              <wp:positionV relativeFrom="paragraph">
                <wp:posOffset>215901</wp:posOffset>
              </wp:positionV>
              <wp:extent cx="539750" cy="53975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085650" y="3519650"/>
                        <a:ext cx="520700" cy="520700"/>
                      </a:xfrm>
                      <a:prstGeom prst="roundRect">
                        <a:avLst>
                          <a:gd fmla="val 16667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448"/>
                              <w:sz w:val="36"/>
                              <w:vertAlign w:val="baseline"/>
                            </w:rPr>
                            <w:t xml:space="preserve"> PAGE  \* Arabic  \* MERGEFORMAT 1</w:t>
                          </w:r>
                        </w:p>
                      </w:txbxContent>
                    </wps:txbx>
                    <wps:bodyPr anchorCtr="0" anchor="ctr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6918326</wp:posOffset>
              </wp:positionH>
              <wp:positionV relativeFrom="paragraph">
                <wp:posOffset>215901</wp:posOffset>
              </wp:positionV>
              <wp:extent cx="539750" cy="539750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39750" cy="539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8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40" w:before="300" w:line="240" w:lineRule="auto"/>
    </w:pPr>
    <w:rPr>
      <w:rFonts w:ascii="Libre Franklin" w:cs="Libre Franklin" w:eastAsia="Libre Franklin" w:hAnsi="Libre Franklin"/>
      <w:color w:val="00656b"/>
      <w:sz w:val="56"/>
      <w:szCs w:val="56"/>
    </w:rPr>
  </w:style>
  <w:style w:type="paragraph" w:styleId="Heading2">
    <w:name w:val="heading 2"/>
    <w:basedOn w:val="Normal"/>
    <w:next w:val="Normal"/>
    <w:pPr>
      <w:spacing w:after="40" w:before="240" w:line="240" w:lineRule="auto"/>
    </w:pPr>
    <w:rPr>
      <w:rFonts w:ascii="Libre Franklin" w:cs="Libre Franklin" w:eastAsia="Libre Franklin" w:hAnsi="Libre Franklin"/>
      <w:color w:val="595959"/>
      <w:sz w:val="44"/>
      <w:szCs w:val="44"/>
    </w:rPr>
  </w:style>
  <w:style w:type="paragraph" w:styleId="Heading3">
    <w:name w:val="heading 3"/>
    <w:basedOn w:val="Normal"/>
    <w:next w:val="Normal"/>
    <w:pPr>
      <w:spacing w:after="40" w:before="200" w:line="240" w:lineRule="auto"/>
    </w:pPr>
    <w:rPr>
      <w:rFonts w:ascii="Libre Franklin" w:cs="Libre Franklin" w:eastAsia="Libre Franklin" w:hAnsi="Libre Franklin"/>
      <w:color w:val="595959"/>
      <w:sz w:val="36"/>
      <w:szCs w:val="36"/>
    </w:rPr>
  </w:style>
  <w:style w:type="paragraph" w:styleId="Heading4">
    <w:name w:val="heading 4"/>
    <w:basedOn w:val="Normal"/>
    <w:next w:val="Normal"/>
    <w:pPr>
      <w:spacing w:after="0" w:before="240" w:lineRule="auto"/>
    </w:pPr>
    <w:rPr>
      <w:rFonts w:ascii="Arial Black" w:cs="Arial Black" w:eastAsia="Arial Black" w:hAnsi="Arial Black"/>
      <w:b w:val="1"/>
      <w:bCs w:val="1"/>
      <w:color w:val="8da523"/>
      <w:sz w:val="24"/>
      <w:szCs w:val="24"/>
    </w:rPr>
  </w:style>
  <w:style w:type="paragraph" w:styleId="Heading5">
    <w:name w:val="heading 5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b w:val="1"/>
      <w:bCs w:val="1"/>
      <w:i w:val="1"/>
      <w:iCs w:val="1"/>
      <w:color w:val="8da523"/>
    </w:rPr>
  </w:style>
  <w:style w:type="paragraph" w:styleId="Heading6">
    <w:name w:val="heading 6"/>
    <w:basedOn w:val="Normal"/>
    <w:next w:val="Normal"/>
    <w:pPr>
      <w:spacing w:after="0" w:before="200" w:lineRule="auto"/>
    </w:pPr>
    <w:rPr>
      <w:rFonts w:ascii="Arial Black" w:cs="Arial Black" w:eastAsia="Arial Black" w:hAnsi="Arial Black"/>
      <w:color w:val="5d6d17"/>
      <w:sz w:val="24"/>
      <w:szCs w:val="24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Libre Franklin" w:cs="Libre Franklin" w:eastAsia="Libre Franklin" w:hAnsi="Libre Franklin"/>
      <w:b w:val="1"/>
      <w:bCs w:val="1"/>
      <w:color w:val="008890"/>
      <w:sz w:val="80"/>
      <w:szCs w:val="80"/>
    </w:rPr>
  </w:style>
  <w:style w:type="paragraph" w:styleId="Subtitle">
    <w:name w:val="Subtitle"/>
    <w:basedOn w:val="Normal"/>
    <w:next w:val="Normal"/>
    <w:pPr>
      <w:spacing w:after="480" w:line="240" w:lineRule="auto"/>
    </w:pPr>
    <w:rPr>
      <w:rFonts w:ascii="Libre Franklin" w:cs="Libre Franklin" w:eastAsia="Libre Franklin" w:hAnsi="Libre Franklin"/>
      <w:color w:val="7f7f7f"/>
      <w:sz w:val="44"/>
      <w:szCs w:val="4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tabnet.datasus.gov.br/tabdata/livroidb/2ed/indicadores.pdf" TargetMode="External"/><Relationship Id="rId10" Type="http://schemas.openxmlformats.org/officeDocument/2006/relationships/image" Target="media/image1.png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5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R0ri87N1QOc/ZX4thAccRAAf+A==">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