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05625" cy="813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84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658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image5.png"/>
                <a:graphic>
                  <a:graphicData uri="http://schemas.openxmlformats.org/drawingml/2006/picture">
                    <pic:pic>
                      <pic:nvPicPr>
                        <pic:cNvPr descr="retângulo"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964175712" name="image2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i007dqcmmitv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Proporção de </w:t>
      </w:r>
      <w:sdt>
        <w:sdtPr>
          <w:id w:val="1468198751"/>
          <w:tag w:val="goog_rdk_0"/>
        </w:sdtPr>
        <w:sdtContent>
          <w:commentRangeStart w:id="0"/>
        </w:sdtContent>
      </w:sdt>
      <w:sdt>
        <w:sdtPr>
          <w:id w:val="178835697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schemas d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t xml:space="preserve">a RNDS disponíveis para usuários: cidadãos, profissionais e gestores</w:t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sdt>
        <w:sdtPr>
          <w:id w:val="-375525934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rtl w:val="0"/>
        </w:rPr>
        <w:t xml:space="preserve">Conceituação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Mede a proporção de </w:t>
      </w:r>
      <w:sdt>
        <w:sdtPr>
          <w:id w:val="-1515540105"/>
          <w:tag w:val="goog_rdk_3"/>
        </w:sdtPr>
        <w:sdtContent>
          <w:commentRangeStart w:id="3"/>
        </w:sdtContent>
      </w:sdt>
      <w:sdt>
        <w:sdtPr>
          <w:id w:val="-265122938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schemas 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da RNDS </w:t>
      </w:r>
      <w:sdt>
        <w:sdtPr>
          <w:id w:val="1057447974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disponíveis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tl w:val="0"/>
        </w:rPr>
        <w:t xml:space="preserve">cidadãos (usuários, gestores e cidadãos).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indicador reflete a clareza metodológica dos processos de ingestão e integração dos dados.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clareza metodológica de descrição dos dados nos modelos informacionais da RNDS;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Monitorar a tabulação da integração com os sistemas de origem;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Apoiar estratégias de interoperabilidade e unificação dos registros do usuário.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Limitações</w:t>
      </w:r>
    </w:p>
    <w:p w:rsidR="00000000" w:rsidDel="00000000" w:rsidP="00000000" w:rsidRDefault="00000000" w:rsidRPr="00000000" w14:paraId="00000016">
      <w:pPr>
        <w:spacing w:after="200" w:lineRule="auto"/>
        <w:ind w:left="720" w:firstLine="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DESCREVER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Todos os Modelos Informacionais da RNDS.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tabelas publicadas / Total de tabelas*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cc000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cc0000" w:val="clear"/>
          <w:vertAlign w:val="baseline"/>
          <w:rtl w:val="0"/>
        </w:rPr>
        <w:t xml:space="preserve">Unidade geográfica (Região, UF, município, estabelecimento de saúde).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de análise (Modelo Informacional, SIS).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Proporção de tabelas da RNDS disponíveis para cidadãos (usuários, gestores e cidadãos)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Mede a proporção de tabelas da RNDS disponíveis para cidadãos (usuários, gestores e cidadãos).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Proporção.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bookmarkStart w:colFirst="0" w:colLast="0" w:name="_heading=h.gidxj9vgdm00" w:id="0"/>
            <w:bookmarkEnd w:id="0"/>
            <w:r w:rsidDel="00000000" w:rsidR="00000000" w:rsidRPr="00000000">
              <w:rPr>
                <w:rtl w:val="0"/>
              </w:rPr>
              <w:t xml:space="preserve">Código sugerido: i010dqcmmitv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010 = ordem; dq = dimensão de qualidade; cm = clareza metodológica; tv = transversal ao modelo)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13.06.2025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0" w:date="2026-04-01T19:30:26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Confusão entre "schema" e "tabela". O texto começa com o título de Proporção de schemas mas muda para tabelas ao decorrer do texto. E são coisas conceitualmente diferentes.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Tabela: É uma estrutura concreta de dados e contém registros (linhas) e atributos (colunas).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Schema: É um conjunto organizado de tabelas, que define estrutura lógica, organização e geralmente algumas regras.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da confusão de nomes, e de tabela ser usado em todo o documento, inclusive nas formulas, eu suponho que pelo o que pretende medir (clareza metodológica dos modelos informacionais), Isso está mais próximo de schema, modelo informacional ou organização lógica.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interpretação, o indicador está medindo com base em tabela e analisando como se fosse schema</w:t>
      </w:r>
    </w:p>
  </w:comment>
  <w:comment w:author="Paulo Jorge Souza Vianna" w:id="1" w:date="2026-04-09T19:16:04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Penso que seja interessante discutirmos isso em termos de cálculo do indicador.</w:t>
      </w:r>
    </w:p>
  </w:comment>
  <w:comment w:author="Meta2 Susdigital" w:id="3" w:date="2026-04-01T19:30:26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Confusão entre "schema" e "tabela". O texto começa com o título de Proporção de schemas mas muda para tabelas ao decorrer do texto. E são coisas conceitualmente diferentes.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Tabela: É uma estrutura concreta de dados e contém registros (linhas) e atributos (colunas).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Schema: É um conjunto organizado de tabelas, que define estrutura lógica, organização e geralmente algumas regras.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da confusão de nomes, e de tabela ser usado em todo o documento, inclusive nas formulas, eu suponho que pelo o que pretende medir (clareza metodológica dos modelos informacionais), Isso está mais próximo de schema, modelo informacional ou organização lógica.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interpretação, o indicador está medindo com base em tabela e analisando como se fosse schema</w:t>
      </w:r>
    </w:p>
  </w:comment>
  <w:comment w:author="Paulo Jorge Souza Vianna" w:id="4" w:date="2026-04-09T19:16:04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Penso que seja interessante discutirmos isso em termos de cálculo do indicador.</w:t>
      </w:r>
    </w:p>
  </w:comment>
  <w:comment w:author="Meta2 Susdigital" w:id="5" w:date="2026-04-01T19:21:15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claramente “disponível”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critérios: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acessível via API/documentação pública ou via portal de acesso;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metadados publicados;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controle de acesso definido;</w:t>
      </w:r>
    </w:p>
  </w:comment>
  <w:comment w:author="Jessy Leal" w:id="2" w:date="2026-03-12T23:47:45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indicador também não precisa da amostra de dados. Basta uma tabela com o número de tabelas publicadas por modelo e o número de tabelas que estão por publicar em diário oficial da união.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0" w15:done="0"/>
  <w15:commentEx w15:paraId="00000061" w15:paraIdParent="00000060" w15:done="0"/>
  <w15:commentEx w15:paraId="00000068" w15:done="0"/>
  <w15:commentEx w15:paraId="00000069" w15:paraIdParent="00000068" w15:done="0"/>
  <w15:commentEx w15:paraId="0000006E" w15:done="0"/>
  <w15:commentEx w15:paraId="0000006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spacing w:after="0" w:before="200"/>
      <w:outlineLvl w:val="6"/>
    </w:pPr>
    <w:rPr>
      <w:rFonts w:asciiTheme="majorHAnsi" w:hAnsiTheme="majorHAnsi"/>
      <w:i w:val="1"/>
      <w:color w:val="5d6d17" w:themeColor="accent3" w:themeShade="0000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spacing w:after="0" w:before="20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spacing w:after="0" w:before="200"/>
      <w:outlineLvl w:val="8"/>
    </w:pPr>
    <w:rPr>
      <w:rFonts w:asciiTheme="majorHAnsi" w:hAnsiTheme="majorHAnsi"/>
      <w:i w:val="1"/>
      <w:color w:val="008890" w:themeColor="accent1"/>
      <w:spacing w:val="1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F1DCE"/>
    <w:rPr>
      <w:rFonts w:ascii="Franklin Gothic Book" w:cs="Times New Roman" w:hAnsi="Franklin Gothic Book"/>
      <w:color w:val="00656b" w:themeColor="accent1" w:themeShade="0000BF"/>
      <w:spacing w:val="20"/>
      <w:sz w:val="56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44"/>
      <w:szCs w:val="28"/>
    </w:rPr>
  </w:style>
  <w:style w:type="character" w:styleId="Ttulo3Char" w:customStyle="1">
    <w:name w:val="Título 3 Char"/>
    <w:basedOn w:val="Fontepargpadro"/>
    <w:link w:val="Ttulo3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36"/>
      <w:szCs w:val="24"/>
    </w:rPr>
  </w:style>
  <w:style w:type="character" w:styleId="TtuloChar" w:customStyle="1">
    <w:name w:val="Título Char"/>
    <w:basedOn w:val="Fontepargpadro"/>
    <w:link w:val="Ttulo"/>
    <w:uiPriority w:val="10"/>
    <w:rsid w:val="00814436"/>
    <w:rPr>
      <w:rFonts w:ascii="Franklin Gothic Demi Cond" w:cs="Times New Roman" w:hAnsi="Franklin Gothic Demi Cond"/>
      <w:b w:val="1"/>
      <w:bCs w:val="1"/>
      <w:color w:val="008890" w:themeColor="accent1"/>
      <w:sz w:val="80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7B346A"/>
    <w:rPr>
      <w:rFonts w:ascii="Franklin Gothic Book" w:hAnsi="Franklin Gothic Book" w:cstheme="minorHAnsi"/>
      <w:color w:val="7f7f7f" w:themeColor="text1" w:themeTint="000080"/>
      <w:sz w:val="44"/>
      <w:szCs w:val="24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0" w:line="240" w:lineRule="auto"/>
    </w:pPr>
    <w:rPr>
      <w:bCs w:val="1"/>
      <w:smallCaps w:val="1"/>
      <w:color w:val="b3c225" w:themeColor="accent2" w:themeShade="0000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hAnsi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color="23f2ff" w:space="10" w:sz="2" w:themeColor="accent1" w:themeTint="000099" w:val="single"/>
        <w:bottom w:color="23f2ff" w:space="10" w:sz="24" w:themeColor="accent1" w:themeTint="000099" w:val="single"/>
      </w:pBdr>
      <w:spacing w:after="280" w:line="240" w:lineRule="auto"/>
      <w:ind w:left="1440" w:right="1440"/>
      <w:jc w:val="both"/>
    </w:pPr>
    <w:rPr>
      <w:rFonts w:cs="Times New Roman" w:eastAsia="Times New Roman"/>
      <w:color w:val="7f7f7f" w:themeColor="background1" w:themeShade="00007F"/>
      <w:sz w:val="28"/>
      <w:szCs w:val="28"/>
      <w:lang w:bidi="hi-IN" w:eastAsia="ko-KR"/>
    </w:rPr>
  </w:style>
  <w:style w:type="character" w:styleId="TtulodoLivro">
    <w:name w:val="Book Title"/>
    <w:basedOn w:val="Fontepargpadro"/>
    <w:uiPriority w:val="33"/>
    <w:qFormat w:val="1"/>
    <w:rPr>
      <w:rFonts w:cs="Times New Roman" w:asciiTheme="majorHAnsi" w:hAnsiTheme="majorHAnsi"/>
      <w:i w:val="1"/>
      <w:color w:val="855d5d" w:themeColor="accent6"/>
      <w:sz w:val="20"/>
      <w:szCs w:val="20"/>
    </w:rPr>
  </w:style>
  <w:style w:type="character" w:styleId="nfase">
    <w:name w:val="Emphasis"/>
    <w:uiPriority w:val="20"/>
    <w:qFormat w:val="1"/>
    <w:rPr>
      <w:b w:val="1"/>
      <w:i w:val="1"/>
      <w:color w:val="404040" w:themeColor="text1" w:themeTint="0000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styleId="Ttulo4Char" w:customStyle="1">
    <w:name w:val="Título 4 Char"/>
    <w:basedOn w:val="Fontepargpadro"/>
    <w:link w:val="Ttulo4"/>
    <w:uiPriority w:val="9"/>
    <w:rPr>
      <w:rFonts w:cs="Times New Roman" w:asciiTheme="majorHAnsi" w:hAnsiTheme="majorHAnsi"/>
      <w:b w:val="1"/>
      <w:color w:val="8ca423" w:themeColor="accent3" w:themeShade="0000BF"/>
      <w:spacing w:val="20"/>
      <w:sz w:val="24"/>
    </w:rPr>
  </w:style>
  <w:style w:type="character" w:styleId="Ttulo5Char" w:customStyle="1">
    <w:name w:val="Título 5 Char"/>
    <w:basedOn w:val="Fontepargpadro"/>
    <w:link w:val="Ttulo5"/>
    <w:uiPriority w:val="9"/>
    <w:rPr>
      <w:rFonts w:cs="Times New Roman" w:asciiTheme="majorHAnsi" w:hAnsiTheme="majorHAnsi"/>
      <w:b w:val="1"/>
      <w:i w:val="1"/>
      <w:color w:val="8ca423" w:themeColor="accent3" w:themeShade="0000BF"/>
      <w:spacing w:val="20"/>
      <w:szCs w:val="26"/>
    </w:rPr>
  </w:style>
  <w:style w:type="character" w:styleId="Ttulo6Char" w:customStyle="1">
    <w:name w:val="Título 6 Char"/>
    <w:basedOn w:val="Fontepargpadro"/>
    <w:link w:val="Ttulo6"/>
    <w:uiPriority w:val="9"/>
    <w:rPr>
      <w:rFonts w:cs="Times New Roman" w:asciiTheme="majorHAnsi" w:hAnsiTheme="majorHAnsi"/>
      <w:color w:val="5d6d17" w:themeColor="accent3" w:themeShade="00007F"/>
      <w:spacing w:val="10"/>
      <w:sz w:val="24"/>
      <w:szCs w:val="20"/>
    </w:rPr>
  </w:style>
  <w:style w:type="character" w:styleId="Ttulo7Char" w:customStyle="1">
    <w:name w:val="Título 7 Char"/>
    <w:basedOn w:val="Fontepargpadro"/>
    <w:link w:val="Ttulo7"/>
    <w:uiPriority w:val="9"/>
    <w:rPr>
      <w:rFonts w:cs="Times New Roman" w:asciiTheme="majorHAnsi" w:hAnsiTheme="majorHAnsi"/>
      <w:i w:val="1"/>
      <w:color w:val="5d6d17" w:themeColor="accent3" w:themeShade="00007F"/>
      <w:spacing w:val="10"/>
      <w:sz w:val="24"/>
      <w:szCs w:val="20"/>
    </w:rPr>
  </w:style>
  <w:style w:type="character" w:styleId="Ttulo8Char" w:customStyle="1">
    <w:name w:val="Título 8 Char"/>
    <w:basedOn w:val="Fontepargpadro"/>
    <w:link w:val="Ttulo8"/>
    <w:uiPriority w:val="9"/>
    <w:rPr>
      <w:rFonts w:cs="Times New Roman" w:asciiTheme="majorHAnsi" w:hAnsiTheme="majorHAnsi"/>
      <w:color w:val="008890" w:themeColor="accent1"/>
      <w:spacing w:val="1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cs="Times New Roman" w:asciiTheme="majorHAnsi" w:hAnsiTheme="majorHAnsi"/>
      <w:i w:val="1"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 w:val="1"/>
    <w:rPr>
      <w:rFonts w:cs="Times New Roman" w:asciiTheme="minorHAnsi" w:hAnsiTheme="minorHAnsi"/>
      <w:b w:val="1"/>
      <w:i w:val="1"/>
      <w:smallCaps w:val="1"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 w:val="1"/>
    <w:pPr>
      <w:pBdr>
        <w:top w:color="23f2ff" w:space="10" w:sz="36" w:themeColor="accent1" w:themeTint="000099" w:val="single"/>
        <w:left w:color="008890" w:space="10" w:sz="24" w:themeColor="accent1" w:val="single"/>
        <w:bottom w:color="b7d438" w:space="10" w:sz="36" w:themeColor="accent3" w:val="single"/>
        <w:right w:color="008890" w:space="10" w:sz="24" w:themeColor="accent1" w:val="single"/>
      </w:pBdr>
      <w:shd w:color="auto" w:fill="008890" w:themeFill="accent1" w:val="clear"/>
      <w:ind w:left="1440" w:right="1440"/>
      <w:jc w:val="center"/>
    </w:pPr>
    <w:rPr>
      <w:rFonts w:asciiTheme="majorHAnsi" w:hAnsiTheme="majorHAnsi"/>
      <w:i w:val="1"/>
      <w:color w:val="ffffff" w:themeColor="background1"/>
      <w:sz w:val="32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rFonts w:cs="Times New Roman" w:asciiTheme="majorHAnsi" w:hAnsiTheme="majorHAnsi"/>
      <w:i w:val="1"/>
      <w:color w:val="ffffff" w:themeColor="background1"/>
      <w:sz w:val="32"/>
      <w:szCs w:val="20"/>
      <w:shd w:color="auto" w:fill="008890" w:themeFill="accent1" w:val="clear"/>
    </w:rPr>
  </w:style>
  <w:style w:type="character" w:styleId="RefernciaIntensa">
    <w:name w:val="Intense Reference"/>
    <w:basedOn w:val="Fontepargpadro"/>
    <w:uiPriority w:val="32"/>
    <w:qFormat w:val="1"/>
    <w:rPr>
      <w:rFonts w:cs="Times New Roman"/>
      <w:b w:val="1"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 w:val="1"/>
    <w:qFormat w:val="1"/>
    <w:pPr>
      <w:numPr>
        <w:numId w:val="11"/>
      </w:numPr>
      <w:spacing w:after="0"/>
      <w:contextualSpacing w:val="1"/>
    </w:pPr>
  </w:style>
  <w:style w:type="paragraph" w:styleId="Commarcadores2">
    <w:name w:val="List Bullet 2"/>
    <w:basedOn w:val="Normal"/>
    <w:uiPriority w:val="36"/>
    <w:unhideWhenUsed w:val="1"/>
    <w:qFormat w:val="1"/>
    <w:pPr>
      <w:numPr>
        <w:numId w:val="12"/>
      </w:numPr>
      <w:spacing w:after="0"/>
    </w:pPr>
  </w:style>
  <w:style w:type="paragraph" w:styleId="Commarcadores3">
    <w:name w:val="List Bullet 3"/>
    <w:basedOn w:val="Normal"/>
    <w:uiPriority w:val="36"/>
    <w:unhideWhenUsed w:val="1"/>
    <w:qFormat w:val="1"/>
    <w:pPr>
      <w:numPr>
        <w:numId w:val="13"/>
      </w:numPr>
      <w:spacing w:after="0"/>
    </w:pPr>
  </w:style>
  <w:style w:type="paragraph" w:styleId="Commarcadores4">
    <w:name w:val="List Bullet 4"/>
    <w:basedOn w:val="Normal"/>
    <w:uiPriority w:val="36"/>
    <w:unhideWhenUsed w:val="1"/>
    <w:qFormat w:val="1"/>
    <w:pPr>
      <w:numPr>
        <w:numId w:val="14"/>
      </w:numPr>
      <w:spacing w:after="0"/>
    </w:pPr>
  </w:style>
  <w:style w:type="paragraph" w:styleId="Commarcadores5">
    <w:name w:val="List Bullet 5"/>
    <w:basedOn w:val="Normal"/>
    <w:uiPriority w:val="36"/>
    <w:unhideWhenUsed w:val="1"/>
    <w:qFormat w:val="1"/>
    <w:pPr>
      <w:numPr>
        <w:numId w:val="15"/>
      </w:numPr>
      <w:spacing w:after="0"/>
    </w:pPr>
  </w:style>
  <w:style w:type="paragraph" w:styleId="SemEspaamento">
    <w:name w:val="No Spacing"/>
    <w:basedOn w:val="Normal"/>
    <w:uiPriority w:val="1"/>
    <w:qFormat w:val="1"/>
    <w:rsid w:val="00C77D65"/>
    <w:pPr>
      <w:spacing w:after="0" w:line="240" w:lineRule="auto"/>
    </w:pPr>
    <w:rPr>
      <w:b w:val="1"/>
      <w:color w:val="004348" w:themeColor="accent1" w:themeShade="000080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Citao">
    <w:name w:val="Quote"/>
    <w:basedOn w:val="Normal"/>
    <w:link w:val="CitaoChar"/>
    <w:uiPriority w:val="29"/>
    <w:qFormat w:val="1"/>
    <w:rPr>
      <w:i w:val="1"/>
      <w:color w:val="7f7f7f" w:themeColor="background1" w:themeShade="00007F"/>
      <w:sz w:val="24"/>
    </w:rPr>
  </w:style>
  <w:style w:type="character" w:styleId="CitaoChar" w:customStyle="1">
    <w:name w:val="Citação Char"/>
    <w:basedOn w:val="Fontepargpadro"/>
    <w:link w:val="Citao"/>
    <w:uiPriority w:val="29"/>
    <w:rPr>
      <w:rFonts w:cs="Times New Roman"/>
      <w:i w:val="1"/>
      <w:color w:val="7f7f7f" w:themeColor="background1" w:themeShade="00007F"/>
      <w:sz w:val="24"/>
      <w:szCs w:val="20"/>
    </w:rPr>
  </w:style>
  <w:style w:type="character" w:styleId="Forte">
    <w:name w:val="Strong"/>
    <w:uiPriority w:val="22"/>
    <w:qFormat w:val="1"/>
    <w:rPr>
      <w:rFonts w:asciiTheme="minorHAnsi" w:hAnsiTheme="minorHAnsi"/>
      <w:b w:val="1"/>
      <w:color w:val="d2df57" w:themeColor="accent2"/>
    </w:rPr>
  </w:style>
  <w:style w:type="character" w:styleId="nfaseSutil">
    <w:name w:val="Subtle Emphasis"/>
    <w:basedOn w:val="Fontepargpadro"/>
    <w:uiPriority w:val="19"/>
    <w:qFormat w:val="1"/>
    <w:rPr>
      <w:rFonts w:cs="Times New Roman" w:asciiTheme="minorHAnsi" w:hAnsiTheme="minorHAnsi"/>
      <w:i w:val="1"/>
      <w:color w:val="737373" w:themeColor="text1" w:themeTint="0000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 w:val="1"/>
    <w:rPr>
      <w:rFonts w:cs="Times New Roman"/>
      <w:color w:val="737373" w:themeColor="text1" w:themeTint="0000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mrio1">
    <w:name w:val="toc 1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</w:pPr>
    <w:rPr>
      <w:smallCaps w:val="1"/>
      <w:noProof w:val="1"/>
      <w:color w:val="d2df57" w:themeColor="accent2"/>
    </w:rPr>
  </w:style>
  <w:style w:type="paragraph" w:styleId="Sumrio2">
    <w:name w:val="toc 2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  <w:ind w:left="216"/>
    </w:pPr>
    <w:rPr>
      <w:smallCaps w:val="1"/>
      <w:noProof w:val="1"/>
    </w:rPr>
  </w:style>
  <w:style w:type="paragraph" w:styleId="Sumrio3">
    <w:name w:val="toc 3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446"/>
    </w:pPr>
    <w:rPr>
      <w:smallCaps w:val="1"/>
      <w:noProof w:val="1"/>
    </w:rPr>
  </w:style>
  <w:style w:type="paragraph" w:styleId="Sumrio4">
    <w:name w:val="toc 4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662"/>
    </w:pPr>
    <w:rPr>
      <w:smallCaps w:val="1"/>
      <w:noProof w:val="1"/>
    </w:rPr>
  </w:style>
  <w:style w:type="paragraph" w:styleId="Sumrio5">
    <w:name w:val="toc 5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878"/>
    </w:pPr>
    <w:rPr>
      <w:smallCaps w:val="1"/>
      <w:noProof w:val="1"/>
    </w:rPr>
  </w:style>
  <w:style w:type="paragraph" w:styleId="Sumrio6">
    <w:name w:val="toc 6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094"/>
    </w:pPr>
    <w:rPr>
      <w:smallCaps w:val="1"/>
      <w:noProof w:val="1"/>
    </w:rPr>
  </w:style>
  <w:style w:type="paragraph" w:styleId="Sumrio7">
    <w:name w:val="toc 7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325"/>
    </w:pPr>
    <w:rPr>
      <w:smallCaps w:val="1"/>
      <w:noProof w:val="1"/>
    </w:rPr>
  </w:style>
  <w:style w:type="paragraph" w:styleId="Sumrio8">
    <w:name w:val="toc 8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540"/>
    </w:pPr>
    <w:rPr>
      <w:smallCaps w:val="1"/>
      <w:noProof w:val="1"/>
    </w:rPr>
  </w:style>
  <w:style w:type="paragraph" w:styleId="Sumrio9">
    <w:name w:val="toc 9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760"/>
    </w:pPr>
    <w:rPr>
      <w:smallCaps w:val="1"/>
      <w:noProof w:val="1"/>
    </w:rPr>
  </w:style>
  <w:style w:type="character" w:styleId="Hyperlink">
    <w:name w:val="Hyperlink"/>
    <w:basedOn w:val="Fontepargpadro"/>
    <w:uiPriority w:val="99"/>
    <w:unhideWhenUsed w:val="1"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3E05C1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DF141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4X9M5Dt20A7Zn2pPRfjq2nOMg==">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2025-04-10T20:25:00Z</dcterms:created>
  <dc:creator>HP</dc:creator>
</cp:coreProperties>
</file>