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5625" cy="813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84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658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image5.png"/>
                <a:graphic>
                  <a:graphicData uri="http://schemas.openxmlformats.org/drawingml/2006/picture">
                    <pic:pic>
                      <pic:nvPicPr>
                        <pic:cNvPr descr="retângulo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12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4e8ocljkon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FICHA DE QUALIFICAÇÃO</w:t>
      </w:r>
    </w:p>
    <w:p w:rsidR="00000000" w:rsidDel="00000000" w:rsidP="00000000" w:rsidRDefault="00000000" w:rsidRPr="00000000" w14:paraId="0000000A">
      <w:pPr>
        <w:spacing w:after="240" w:line="276" w:lineRule="auto"/>
        <w:jc w:val="center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76" w:lineRule="auto"/>
        <w:jc w:val="center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i008dqcbmitv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Proporção de municípios com envio regular de dados à RNDS 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1 - Conceituação</w:t>
      </w:r>
    </w:p>
    <w:p w:rsidR="00000000" w:rsidDel="00000000" w:rsidP="00000000" w:rsidRDefault="00000000" w:rsidRPr="00000000" w14:paraId="0000000D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Mede o percentual de municípios (no cenário nacional ou filtrado por Unidade da Federação) que registraram transmissões válidas de dados para a RNDS em pelo menos um dia dentro do mês de competência. </w:t>
      </w:r>
    </w:p>
    <w:p w:rsidR="00000000" w:rsidDel="00000000" w:rsidP="00000000" w:rsidRDefault="00000000" w:rsidRPr="00000000" w14:paraId="0000000E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2 - Interpretação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Reflete a cobertura no envio de dados municipais na RNDS.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Resultados altos (ex: próximos a 100%): Indicam ampla cobertura territorial, demonstrando que a infraestrutura técnica e de conectividade está ativa na maior parte dos municípios, garantindo que eles "existam" na base de dados do período.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Resultados baixos: Identificam "desertos" de integração digital, apontando municípios ou estados que estão inativos ou desconectados da RNDS naquele mês.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Monitorar a taxa de adesão territorial aos modelos informacionais da RNDS ao longo do tempo.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Servir como métrica raiz (nota de Cobertura) no painel de BI, permitindo a navegação dinâmica do nível global (Brasil) para o detalhamento estadual (UF).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Parametrizar alertas visuais no painel de BI (formatação condicional) caso o percentual alcançado fique abaixo da meta institucional estabelecida (ex: alerta vermelho se &lt;80%).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Limitações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Incapacidade de medir tempestividade: O indicador não avalia se o fluxo é contínuo. Um município que retém todos os registros e os envia em um único lote no último dia do mês atende ao critério de Cobertura positivamente, mesmo tendo uma baixa regularidade de envio.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Mascaramento intra-municipal (efeito pólo): O envio de dados por um único estabelecimento de saúde (como um laboratório de análises clínicas privado ou um hospital) dentro do município garante a contagem positiva para o município inteiro. Isso não assegura que a totalidade da rede própria de Atenção Primária esteja integrada.</w:t>
      </w:r>
    </w:p>
    <w:p w:rsidR="00000000" w:rsidDel="00000000" w:rsidP="00000000" w:rsidRDefault="00000000" w:rsidRPr="00000000" w14:paraId="0000001A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E">
      <w:pPr>
        <w:spacing w:after="240" w:line="276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Tabelas analíticas da RNDS (Modelos Informacionais) e o cadastro oficial de municípios do IBGE (Tabela base de 5.571 municípios).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de dados deve permitir que o cálculo se adapte dinamicamente de acordo com o filtro selecionado no painel de BI: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Visão Global (Brasil):</w:t>
        <w:br w:type="textWrapping"/>
        <w:t xml:space="preserve">Número total de municípios no Brasil com envio em pelo menos um dia no mês/5.571* 100</w:t>
      </w:r>
    </w:p>
    <w:p w:rsidR="00000000" w:rsidDel="00000000" w:rsidP="00000000" w:rsidRDefault="00000000" w:rsidRPr="00000000" w14:paraId="00000022">
      <w:pPr>
        <w:spacing w:after="240" w:line="276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Visão Regional/Estadual (Filtro por UF aplicado):</w:t>
        <w:br w:type="textWrapping"/>
        <w:t xml:space="preserve">Número de municípios na UF selecionada com envio em pelo menos um dia no mês/Total oficial de municípios da respectiva UF*100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Categorias sugeridas para análise (Filtros e Dimensões)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Recorte Temporal: Ano, Mês, Trimestre.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Unidade geográfica: Nacional, Região, UF.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Unidade de análise: Modelo Informacional.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Modelo da Ficha de Qualificação de Indicadores (FQI). RIPSA – Rede Interagencial de Informações para a Saúde. Disponível em: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https://www.ripsa.org.br/indicadores/fqi/</w:t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Modelo aplicado:</w:t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Acesso em: 30 jul. 2026.</w:t>
      </w:r>
    </w:p>
    <w:p w:rsidR="00000000" w:rsidDel="00000000" w:rsidP="00000000" w:rsidRDefault="00000000" w:rsidRPr="00000000" w14:paraId="0000002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anterior proposto</w:t>
      </w:r>
    </w:p>
    <w:p w:rsidR="00000000" w:rsidDel="00000000" w:rsidP="00000000" w:rsidRDefault="00000000" w:rsidRPr="00000000" w14:paraId="0000003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i008dqcbmitv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Proporção de municípios com envio de dados regular para a RNDS</w:t>
      </w:r>
    </w:p>
    <w:p w:rsidR="00000000" w:rsidDel="00000000" w:rsidP="00000000" w:rsidRDefault="00000000" w:rsidRPr="00000000" w14:paraId="0000003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</w:rPr>
      </w:pPr>
      <w:sdt>
        <w:sdtPr>
          <w:id w:val="-1122425824"/>
          <w:tag w:val="goog_rdk_0"/>
        </w:sdtPr>
        <w:sdtContent>
          <w:commentRangeStart w:id="0"/>
        </w:sdtContent>
      </w:sdt>
      <w:sdt>
        <w:sdtPr>
          <w:id w:val="-133405315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Conceituação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proporção de municípios que enviaram dados para a RNDS </w:t>
      </w:r>
      <w:r w:rsidDel="00000000" w:rsidR="00000000" w:rsidRPr="00000000">
        <w:rPr>
          <w:rtl w:val="0"/>
        </w:rPr>
        <w:t xml:space="preserve">nos </w:t>
      </w:r>
      <w:r w:rsidDel="00000000" w:rsidR="00000000" w:rsidRPr="00000000">
        <w:rPr>
          <w:rtl w:val="0"/>
        </w:rPr>
        <w:t xml:space="preserve">últimos</w:t>
      </w:r>
      <w:r w:rsidDel="00000000" w:rsidR="00000000" w:rsidRPr="00000000">
        <w:rPr>
          <w:rtl w:val="0"/>
        </w:rPr>
        <w:t xml:space="preserve"> 30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indicador reflete a cobertura dos processos de ingestão dos dados.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cobertura de envio de dados nos modelos informacionais da RNDS;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o avanço da integração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municípios para envio de dados à RNDS;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</w:t>
      </w:r>
    </w:p>
    <w:p w:rsidR="00000000" w:rsidDel="00000000" w:rsidP="00000000" w:rsidRDefault="00000000" w:rsidRPr="00000000" w14:paraId="0000004B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Nas tabelas disponíveis no redshift, não há um campo específico para o estabelecimento que enviou o registro, sendo considerado o estabelecimento que realizou o evento. Para regulação, como há mais de um campo para estabelecimento, são considerados aqueles que fizeram a solicitação ou regulação de gestão municipal ou dupla.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4D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Tabelas analíticas da RNDS de t</w:t>
      </w:r>
      <w:r w:rsidDel="00000000" w:rsidR="00000000" w:rsidRPr="00000000">
        <w:rPr>
          <w:rtl w:val="0"/>
        </w:rPr>
        <w:t xml:space="preserve">odos os Modelos Informacionais.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municípios 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pelo men</w:t>
      </w:r>
      <w:r w:rsidDel="00000000" w:rsidR="00000000" w:rsidRPr="00000000">
        <w:rPr>
          <w:rtl w:val="0"/>
        </w:rPr>
        <w:t xml:space="preserve">os um registro nos últimos 30 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Total de municípios* 100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geográfica (Região, UF, município, estabelecimento de saúde).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Gestão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5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58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6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municípios que enviam dados regularmente para a RNDS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municípios que enviam dados regularmente para a RNDS.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Proporção.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bookmarkStart w:colFirst="0" w:colLast="0" w:name="_heading=h.1k4lldukvhmo" w:id="1"/>
            <w:bookmarkEnd w:id="1"/>
            <w:r w:rsidDel="00000000" w:rsidR="00000000" w:rsidRPr="00000000">
              <w:rPr>
                <w:rtl w:val="0"/>
              </w:rPr>
              <w:t xml:space="preserve">Código sugerido: i011dqcbmitv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011 = ordem; dq = dimensão de qualidade; cb = cobertura; tv = transversal ao modelo)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13.06.2025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8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sy Leal" w:id="0" w:date="2026-03-12T23:55:00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esse indicador também não depende da amostra de dados. Conseguem confirmar?</w:t>
      </w:r>
    </w:p>
  </w:comment>
  <w:comment w:author="Meta2 Susdigital" w:id="1" w:date="2026-03-20T14:50:01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orientado por Diêgo, é um indicador relevante e que a amostra dados pode trazer essa informação. E que o prazo de 30 dias é um prazo adequado.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2" w15:done="0"/>
  <w15:commentEx w15:paraId="00000093" w15:paraIdParent="0000009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11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numPr>
        <w:numId w:val="12"/>
      </w:numPr>
      <w:spacing w:after="0"/>
    </w:pPr>
  </w:style>
  <w:style w:type="paragraph" w:styleId="Commarcadores3">
    <w:name w:val="List Bullet 3"/>
    <w:basedOn w:val="Normal"/>
    <w:uiPriority w:val="36"/>
    <w:unhideWhenUsed w:val="1"/>
    <w:qFormat w:val="1"/>
    <w:pPr>
      <w:numPr>
        <w:numId w:val="13"/>
      </w:numPr>
      <w:spacing w:after="0"/>
    </w:pPr>
  </w:style>
  <w:style w:type="paragraph" w:styleId="Commarcadores4">
    <w:name w:val="List Bullet 4"/>
    <w:basedOn w:val="Normal"/>
    <w:uiPriority w:val="36"/>
    <w:unhideWhenUsed w:val="1"/>
    <w:qFormat w:val="1"/>
    <w:pPr>
      <w:numPr>
        <w:numId w:val="14"/>
      </w:numPr>
      <w:spacing w:after="0"/>
    </w:pPr>
  </w:style>
  <w:style w:type="paragraph" w:styleId="Commarcadores5">
    <w:name w:val="List Bullet 5"/>
    <w:basedOn w:val="Normal"/>
    <w:uiPriority w:val="36"/>
    <w:unhideWhenUsed w:val="1"/>
    <w:qFormat w:val="1"/>
    <w:pPr>
      <w:numPr>
        <w:numId w:val="15"/>
      </w:numPr>
      <w:spacing w:after="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ipsa.org.br/indicadores/fqi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://tabnet.datasus.gov.br/tabdata/livroidb/2ed/indicadores.pdf" TargetMode="External"/><Relationship Id="rId12" Type="http://schemas.openxmlformats.org/officeDocument/2006/relationships/hyperlink" Target="https://www.ripsa.org.br/indicadores/fqi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yperlink" Target="http://tabnet.datasus.gov.br/tabdata/livroidb/2ed/indicadores.pdf" TargetMode="External"/><Relationship Id="rId14" Type="http://schemas.openxmlformats.org/officeDocument/2006/relationships/hyperlink" Target="http://tabnet.datasus.gov.br/tabdata/livroidb/2ed/indicadores.pdf" TargetMode="Externa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vmQbMD/RuMUuEZX/WCLlEioJQ==">CgMxLjAaJwoBMBIiCiAIBCocCgtBQUFCMXN1SlZHURAIGgtBQUFCMXN1SlZHURonCgExEiIKIAgEKhwKC0FBQUIxc3VKVkdREAgaC0FBQUIyTXhqb28wItkICgtBQUFCMXN1SlZHURKnCAoLQUFBQjFzdUpWR1ESC0FBQUIxc3VKVkdRGmcKCXRleHQvaHRtbBJaQWNyZWRpdG8gcXVlIGVzc2UgaW5kaWNhZG9yIHRhbWLDqW0gbsOjbyBkZXBlbmRlIGRhIGFtb3N0cmEgZGUgZGFkb3MuIENvbnNlZ3VlbSBjb25maXJtYXI/ImgKCnRleHQvcGxhaW4SWkFjcmVkaXRvIHF1ZSBlc3NlIGluZGljYWRvciB0YW1iw6ltIG7Do28gZGVwZW5kZSBkYSBhbW9zdHJhIGRlIGRhZG9zLiBDb25zZWd1ZW0gY29uZmlybWFyPyobIhUxMDczOTA1MTQxNTM0ODkxMDQ0OTgoADgAMOm25qPOMzjajubd0DNC6QQKC0FBQUIyTXhqb28wEgtBQUFCMXN1SlZHURqqAQoJdGV4dC9odG1sEpwBQ29uZm9ybWUgb3JpZW50YWRvIHBvciBEacOqZ28sIMOpIHVtIGluZGljYWRvciByZWxldmFudGUgZSBxdWUgYSBhbW9zdHJhIGRhZG9zIHBvZGUgdHJhemVyIGVzc2EgaW5mb3JtYcOnw6NvLiBFIHF1ZSBvIHByYXpvIGRlIDMwIGRpYXMgw6kgdW0gcHJhem8gYWRlcXVhZG8uIqsBCgp0ZXh0L3BsYWluEpwBQ29uZm9ybWUgb3JpZW50YWRvIHBvciBEacOqZ28sIMOpIHVtIGluZGljYWRvciByZWxldmFudGUgZSBxdWUgYSBhbW9zdHJhIGRhZG9zIHBvZGUgdHJhemVyIGVzc2EgaW5mb3JtYcOnw6NvLiBFIHF1ZSBvIHByYXpvIGRlIDMwIGRpYXMgw6kgdW0gcHJhem8gYWRlcXVhZG8uKhsiFTExNTAyNzA1MzQ3OTYxNDg2NjAzNSgAOAAw2o7m3dAzONqO5t3QM1oMYzcxNHExM3E2NGlycgIgAHgAmgEGCAAQABgAqgGfARKcAUNvbmZvcm1lIG9yaWVudGFkbyBwb3IgRGnDqmdvLCDDqSB1bSBpbmRpY2Fkb3IgcmVsZXZhbnRlIGUgcXVlIGEgYW1vc3RyYSBkYWRvcyBwb2RlIHRyYXplciBlc3NhIGluZm9ybWHDp8Ojby4gRSBxdWUgbyBwcmF6byBkZSAzMCBkaWFzIMOpIHVtIHByYXpvIGFkZXF1YWRvLrABALgBAMgBAEocCgp0ZXh0L3BsYWluEg5Db25jZWl0dWHDp8Ojb1oMMjg0d3gzdjFwNDlrcgIgAHgAmgEGCAAQABgAqgFcElpBY3JlZGl0byBxdWUgZXNzZSBpbmRpY2Fkb3IgdGFtYsOpbSBuw6NvIGRlcGVuZGUgZGEgYW1vc3RyYSBkZSBkYWRvcy4gQ29uc2VndWVtIGNvbmZpcm1hcj+wAQC4AQDIAQAY6bbmo84zINqO5t3QMzAAQhBraXgueG5xeTF2aW82OG91IpUCCgtBQUFCNTdkcE5QOBLfAQoLQUFBQjU3ZHBOUDgSC0FBQUI1N2RwTlA4Gg0KCXRleHQvaHRtbBIAIg4KCnRleHQvcGxhaW4SACobIhUxMDYyNTczMDY2MDgzMjQ5MzUwNjEoADgAMInMu73gMzia0Lu94DNKPAokYXBwbGljYXRpb24vdm5kLmdvb2dsZS1hcHBzLmRvY3MubWRzGhTC19rkAQ4aDAoICgJhchABGAAQAVoMYTM4bHNoNm1meHVhcgIgAHgAggEUc3VnZ2VzdC45c2gxZm8ybWxvbHOaAQYIABAAGACwAQC4AQDIAQAYicy7veAzIJrQu73gMzAAQhRzdWdnZXN0LjlzaDFmbzJtbG9scyKRAgoLQUFBQjU3ZHBOUDQS3AEKC0FBQUI1N2RwTlA0EgtBQUFCNTdkcE5QNBoNCgl0ZXh0L2h0bWwSACIOCgp0ZXh0L3BsYWluEgAqGyIVMTA2MjU3MzA2NjA4MzI0OTM1MDYxKAA4ADDDuru94DM45Me7veAzSjsKJGFwcGxpY2F0aW9uL3ZuZC5nb29nbGUtYXBwcy5kb2NzLm1kcxoTwtfa5AENGgsKBwoBchABGAAQAVoLMmg3dW9sMW5qY3hyAiAAeACCARNzdWdnZXN0LjIxZGh2Mjh1dm5rmgEGCAAQABgAsAEAuAEAyAEAGMO6u73gMyDkx7u94DMwAEITc3VnZ2VzdC4yMWRodjI4dXZuazIOaC5iNGU4b2NsamtvbnUyDmguMWs0bGxkdWt2aG1vOABqKQoUc3VnZ2VzdC5wdzdnam9lcWJxdXoSEVZlcmlkaWFuYSBSYW1hbGhvaikKFHN1Z2dlc3QuOG5ubG90ZTFmMTl6EhFWZXJpZGlhbmEgUmFtYWxob2opChRzdWdnZXN0LnFiajIwcDgyemp5MRIRVmVyaWRpYW5hIFJhbWFsaG9qKQoUc3VnZ2VzdC5vMDBtbTZkdnBjaG0SEVZlcmlkaWFuYSBSYW1hbGhvaikKFHN1Z2dlc3QudjEwbmFsZjN2NGZmEhFWZXJpZGlhbmEgUmFtYWxob2opChRzdWdnZXN0Lmhleng4MTc1dmR0bRIRVmVyaWRpYW5hIFJhbWFsaG9qKQoUc3VnZ2VzdC5scmJwN2wyc2tjOG4SEVZlcmlkaWFuYSBSYW1hbGhvaikKFHN1Z2dlc3QubGlldTFyM3A0ZG5mEhFWZXJpZGlhbmEgUmFtYWxob2opChRzdWdnZXN0LjY5aG1zaDJrNHp2dxIRVmVyaWRpYW5hIFJhbWFsaG9qKAoTc3VnZ2VzdC4zOHdocXF6MHFhaRIRVmVyaWRpYW5hIFJhbWFsaG9qKQoUc3VnZ2VzdC44djdzaWxzd3k0bWgSEVZlcmlkaWFuYSBSYW1hbGhvaikKFHN1Z2dlc3QuemhhYW5ubWZzZHRlEhFWZXJpZGlhbmEgUmFtYWxob2opChRzdWdnZXN0LjlzaDFmbzJtbG9scxIRVmVyaWRpYW5hIFJhbWFsaG9qKQoUc3VnZ2VzdC54NTE4MXFlZTEyNGMSEVZlcmlkaWFuYSBSYW1hbGhvaigKE3N1Z2dlc3QuMjFkaHYyOHV2bmsSEVZlcmlkaWFuYSBSYW1hbGhvaikKFHN1Z2dlc3QucGEyMm5rNGJoaHg5EhFWZXJpZGlhbmEgUmFtYWxob3IhMUllYWxMUGNDMkx3QjZ1UjIyS2xmOUFOV2t5YnZNR28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2025-04-10T20:25:00Z</dcterms:created>
  <dc:creator>HP</dc:creator>
</cp:coreProperties>
</file>