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7CD5B" w14:textId="77777777" w:rsidR="0049017B" w:rsidRDefault="004901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</w:p>
    <w:tbl>
      <w:tblPr>
        <w:tblStyle w:val="a1"/>
        <w:tblpPr w:leftFromText="180" w:rightFromText="180" w:vertAnchor="text" w:tblpX="841" w:tblpY="10467"/>
        <w:tblW w:w="110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076"/>
      </w:tblGrid>
      <w:tr w:rsidR="0049017B" w14:paraId="02C9D0F5" w14:textId="77777777" w:rsidTr="00490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6" w:type="dxa"/>
            <w:shd w:val="clear" w:color="auto" w:fill="auto"/>
            <w:vAlign w:val="bottom"/>
          </w:tcPr>
          <w:p w14:paraId="07CDF201" w14:textId="77777777" w:rsidR="0049017B" w:rsidRDefault="00AD33B5">
            <w:pPr>
              <w:spacing w:after="200"/>
              <w:rPr>
                <w:smallCaps/>
              </w:rPr>
            </w:pPr>
            <w:r>
              <w:rPr>
                <w:smallCaps/>
                <w:noProof/>
              </w:rPr>
              <mc:AlternateContent>
                <mc:Choice Requires="wpg">
                  <w:drawing>
                    <wp:inline distT="0" distB="0" distL="0" distR="0" wp14:anchorId="0D8680B7" wp14:editId="7C04B17C">
                      <wp:extent cx="6043613" cy="819150"/>
                      <wp:effectExtent l="0" t="0" r="0" b="0"/>
                      <wp:docPr id="1964175717" name="Retângulo 1964175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7C443C" w14:textId="77777777" w:rsidR="0049017B" w:rsidRDefault="00AD33B5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Libre Franklin" w:eastAsia="Libre Franklin" w:hAnsi="Libre Franklin" w:cs="Libre Franklin"/>
                                      <w:color w:val="FFFFFF"/>
                                      <w:sz w:val="80"/>
                                    </w:rPr>
                                    <w:t>Ficha de qualificação e requisitos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6043613" cy="819150"/>
                      <wp:effectExtent b="0" l="0" r="0" t="0"/>
                      <wp:docPr id="196417571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43613" cy="819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49017B" w14:paraId="2E606E8D" w14:textId="77777777" w:rsidTr="00490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6" w:type="dxa"/>
            <w:shd w:val="clear" w:color="auto" w:fill="auto"/>
          </w:tcPr>
          <w:p w14:paraId="1361EA26" w14:textId="77777777" w:rsidR="0049017B" w:rsidRDefault="00AD33B5">
            <w:pPr>
              <w:spacing w:after="200"/>
              <w:rPr>
                <w:smallCaps/>
              </w:rPr>
            </w:pPr>
            <w:r>
              <w:rPr>
                <w:smallCaps/>
                <w:noProof/>
              </w:rPr>
              <mc:AlternateContent>
                <mc:Choice Requires="wpg">
                  <w:drawing>
                    <wp:inline distT="0" distB="0" distL="0" distR="0" wp14:anchorId="5B19ED6A" wp14:editId="0CB5CFA8">
                      <wp:extent cx="5588000" cy="458437"/>
                      <wp:effectExtent l="0" t="0" r="0" b="0"/>
                      <wp:docPr id="1964175716" name="Retângulo 19641757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B2534D" w14:textId="77777777" w:rsidR="0049017B" w:rsidRDefault="00AD33B5">
                                  <w:pPr>
                                    <w:spacing w:after="48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Libre Franklin" w:eastAsia="Libre Franklin" w:hAnsi="Libre Franklin" w:cs="Libre Franklin"/>
                                      <w:color w:val="FFFFFF"/>
                                      <w:sz w:val="44"/>
                                    </w:rPr>
                                    <w:t xml:space="preserve">Indicadores </w:t>
                                  </w:r>
                                  <w:r>
                                    <w:rPr>
                                      <w:rFonts w:ascii="Libre Franklin" w:eastAsia="Libre Franklin" w:hAnsi="Libre Franklin" w:cs="Libre Franklin"/>
                                      <w:color w:val="FFFFFF"/>
                                      <w:sz w:val="44"/>
                                    </w:rPr>
                                    <w:t>de Qualidade de Dados da RNDS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588000" cy="458437"/>
                      <wp:effectExtent b="0" l="0" r="0" t="0"/>
                      <wp:docPr id="196417571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88000" cy="4584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49017B" w14:paraId="2E9E6419" w14:textId="77777777" w:rsidTr="0049017B">
        <w:trPr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6" w:type="dxa"/>
            <w:shd w:val="clear" w:color="auto" w:fill="auto"/>
          </w:tcPr>
          <w:p w14:paraId="447DF149" w14:textId="77777777" w:rsidR="0049017B" w:rsidRDefault="00AD33B5">
            <w:pPr>
              <w:spacing w:after="200"/>
              <w:rPr>
                <w:smallCaps/>
              </w:rPr>
            </w:pPr>
            <w:r>
              <w:rPr>
                <w:smallCaps/>
                <w:noProof/>
              </w:rPr>
              <mc:AlternateContent>
                <mc:Choice Requires="wpg">
                  <w:drawing>
                    <wp:inline distT="0" distB="0" distL="0" distR="0" wp14:anchorId="35EC12D5" wp14:editId="3C9B5510">
                      <wp:extent cx="6015038" cy="457200"/>
                      <wp:effectExtent l="0" t="0" r="0" b="0"/>
                      <wp:docPr id="1964175718" name="Retângulo 19641757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852264" w14:textId="77777777" w:rsidR="0049017B" w:rsidRDefault="00AD33B5">
                                  <w:pPr>
                                    <w:spacing w:after="48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Libre Franklin" w:eastAsia="Libre Franklin" w:hAnsi="Libre Franklin" w:cs="Libre Franklin"/>
                                      <w:color w:val="FFFFFF"/>
                                      <w:sz w:val="44"/>
                                    </w:rPr>
                                    <w:t xml:space="preserve">2025 </w:t>
                                  </w:r>
                                  <w:r>
                                    <w:rPr>
                                      <w:rFonts w:ascii="Libre Franklin" w:eastAsia="Libre Franklin" w:hAnsi="Libre Franklin" w:cs="Libre Franklin"/>
                                      <w:color w:val="FFFFFF"/>
                                      <w:sz w:val="44"/>
                                    </w:rPr>
                                    <w:t>| Por: Meta 2 – Índice de qualidade de dados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6015038" cy="457200"/>
                      <wp:effectExtent b="0" l="0" r="0" t="0"/>
                      <wp:docPr id="196417571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15038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0D72E01D" w14:textId="77777777" w:rsidR="0049017B" w:rsidRDefault="00AD33B5">
      <w:pPr>
        <w:spacing w:after="200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E1B1EEE" wp14:editId="617E5B50">
                <wp:simplePos x="0" y="0"/>
                <wp:positionH relativeFrom="column">
                  <wp:posOffset>-1109659</wp:posOffset>
                </wp:positionH>
                <wp:positionV relativeFrom="paragraph">
                  <wp:posOffset>4414838</wp:posOffset>
                </wp:positionV>
                <wp:extent cx="7795260" cy="5353050"/>
                <wp:effectExtent l="0" t="0" r="0" b="0"/>
                <wp:wrapNone/>
                <wp:docPr id="1964175714" name="Retângulo 1964175714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864EE2" w14:textId="77777777" w:rsidR="0049017B" w:rsidRDefault="0049017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-1109659</wp:posOffset>
                </wp:positionH>
                <wp:positionV relativeFrom="paragraph">
                  <wp:posOffset>4414838</wp:posOffset>
                </wp:positionV>
                <wp:extent cx="7795260" cy="5353050"/>
                <wp:effectExtent b="0" l="0" r="0" t="0"/>
                <wp:wrapNone/>
                <wp:docPr descr="retângulo" id="1964175714" name="image4.png"/>
                <a:graphic>
                  <a:graphicData uri="http://schemas.openxmlformats.org/drawingml/2006/picture">
                    <pic:pic>
                      <pic:nvPicPr>
                        <pic:cNvPr descr="retângulo"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5260" cy="535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4781F782" wp14:editId="60012232">
                <wp:simplePos x="0" y="0"/>
                <wp:positionH relativeFrom="column">
                  <wp:posOffset>-906460</wp:posOffset>
                </wp:positionH>
                <wp:positionV relativeFrom="paragraph">
                  <wp:posOffset>-957259</wp:posOffset>
                </wp:positionV>
                <wp:extent cx="7795260" cy="1193800"/>
                <wp:effectExtent l="0" t="0" r="0" b="0"/>
                <wp:wrapNone/>
                <wp:docPr id="1964175719" name="Retângulo 1964175719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8B7FB5" w14:textId="77777777" w:rsidR="0049017B" w:rsidRDefault="0049017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-906460</wp:posOffset>
                </wp:positionH>
                <wp:positionV relativeFrom="paragraph">
                  <wp:posOffset>-957259</wp:posOffset>
                </wp:positionV>
                <wp:extent cx="7795260" cy="1193800"/>
                <wp:effectExtent b="0" l="0" r="0" t="0"/>
                <wp:wrapNone/>
                <wp:docPr descr="retângulo" id="1964175719" name="image9.png"/>
                <a:graphic>
                  <a:graphicData uri="http://schemas.openxmlformats.org/drawingml/2006/picture">
                    <pic:pic>
                      <pic:nvPicPr>
                        <pic:cNvPr descr="retângulo"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5260" cy="1193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689CE8D" wp14:editId="0FC5D0C4">
            <wp:simplePos x="0" y="0"/>
            <wp:positionH relativeFrom="column">
              <wp:posOffset>-914398</wp:posOffset>
            </wp:positionH>
            <wp:positionV relativeFrom="paragraph">
              <wp:posOffset>196850</wp:posOffset>
            </wp:positionV>
            <wp:extent cx="7549205" cy="4235450"/>
            <wp:effectExtent l="0" t="0" r="0" b="0"/>
            <wp:wrapSquare wrapText="bothSides" distT="0" distB="0" distL="114300" distR="114300"/>
            <wp:docPr id="1964175720" name="image2.png" descr="Interface gráfica do usuári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ce gráfica do usuário, Site&#10;&#10;O conteúdo gerado por IA pode estar incorre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0C6186" w14:textId="77777777" w:rsidR="0049017B" w:rsidRDefault="00AD33B5">
      <w:pPr>
        <w:spacing w:after="200"/>
        <w:rPr>
          <w:b/>
          <w:bCs/>
        </w:rPr>
      </w:pPr>
      <w:r>
        <w:rPr>
          <w:b/>
          <w:bCs/>
        </w:rPr>
        <w:t xml:space="preserve"> </w:t>
      </w:r>
      <w:r>
        <w:br w:type="page"/>
      </w:r>
    </w:p>
    <w:p w14:paraId="750612DD" w14:textId="77777777" w:rsidR="0049017B" w:rsidRDefault="00AD33B5">
      <w:pPr>
        <w:pBdr>
          <w:top w:val="single" w:sz="4" w:space="1" w:color="000000"/>
          <w:bottom w:val="single" w:sz="4" w:space="1" w:color="000000"/>
        </w:pBdr>
        <w:spacing w:after="20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FICHA DE QUALIFICAÇÃO</w:t>
      </w:r>
    </w:p>
    <w:p w14:paraId="050EA98A" w14:textId="77777777" w:rsidR="0049017B" w:rsidRDefault="0049017B">
      <w:pPr>
        <w:spacing w:line="240" w:lineRule="auto"/>
      </w:pPr>
    </w:p>
    <w:p w14:paraId="1E8AD359" w14:textId="77777777" w:rsidR="0049017B" w:rsidRDefault="00AD33B5">
      <w:pPr>
        <w:spacing w:line="240" w:lineRule="auto"/>
        <w:jc w:val="center"/>
        <w:rPr>
          <w:b/>
          <w:bCs/>
        </w:rPr>
      </w:pPr>
      <w:r>
        <w:rPr>
          <w:b/>
          <w:bCs/>
        </w:rPr>
        <w:t>i010dqcbmitv – Taxa de residentes com registros interoperáveis na RNDS</w:t>
      </w:r>
    </w:p>
    <w:p w14:paraId="4EDACA5C" w14:textId="77777777" w:rsidR="0049017B" w:rsidRDefault="0049017B">
      <w:pPr>
        <w:spacing w:line="240" w:lineRule="auto"/>
        <w:jc w:val="both"/>
      </w:pPr>
    </w:p>
    <w:p w14:paraId="3A91FAC6" w14:textId="77777777" w:rsidR="0049017B" w:rsidRDefault="00AD33B5">
      <w:pPr>
        <w:jc w:val="both"/>
        <w:rPr>
          <w:b/>
          <w:bCs/>
        </w:rPr>
      </w:pPr>
      <w:r>
        <w:rPr>
          <w:b/>
          <w:bCs/>
        </w:rPr>
        <w:t>1. Conceituação</w:t>
      </w:r>
    </w:p>
    <w:p w14:paraId="0D4E3F1F" w14:textId="65566C39" w:rsidR="0049017B" w:rsidRDefault="00AD33B5">
      <w:pPr>
        <w:jc w:val="both"/>
        <w:rPr>
          <w:b/>
          <w:bCs/>
        </w:rPr>
      </w:pPr>
      <w:r>
        <w:t>Mede a densidade de cidadão</w:t>
      </w:r>
      <w:r w:rsidR="002A0D64">
        <w:t xml:space="preserve"> </w:t>
      </w:r>
      <w:r>
        <w:t xml:space="preserve">residentes em determinada área geográfica que possuem ao menos um registro clínico (atendimento, vacina, exame ou </w:t>
      </w:r>
      <w:r w:rsidR="002A0D64">
        <w:t xml:space="preserve">prescrição de </w:t>
      </w:r>
      <w:r>
        <w:t>medicamento)</w:t>
      </w:r>
      <w:r>
        <w:t>, i</w:t>
      </w:r>
      <w:r>
        <w:t>nteroperável e disponível na RNDS. Expressa a taxa por 100 mil habitantes.</w:t>
      </w:r>
    </w:p>
    <w:p w14:paraId="0DD83CCA" w14:textId="77777777" w:rsidR="0049017B" w:rsidRDefault="0049017B">
      <w:pPr>
        <w:jc w:val="both"/>
        <w:rPr>
          <w:b/>
          <w:bCs/>
        </w:rPr>
      </w:pPr>
    </w:p>
    <w:p w14:paraId="3BA0D186" w14:textId="77777777" w:rsidR="0049017B" w:rsidRDefault="00AD33B5">
      <w:pPr>
        <w:jc w:val="both"/>
        <w:rPr>
          <w:b/>
          <w:bCs/>
        </w:rPr>
      </w:pPr>
      <w:r>
        <w:rPr>
          <w:b/>
          <w:bCs/>
        </w:rPr>
        <w:t>2. Interpretação</w:t>
      </w:r>
    </w:p>
    <w:p w14:paraId="2392C7BD" w14:textId="7B6E5DB2" w:rsidR="0049017B" w:rsidRDefault="00AD33B5">
      <w:pPr>
        <w:jc w:val="both"/>
      </w:pPr>
      <w:r>
        <w:t>Este indicador reflete a cobertura populacional do ecossistema de saúde digital</w:t>
      </w:r>
      <w:r w:rsidR="00790FBB">
        <w:t xml:space="preserve"> (RNDS)</w:t>
      </w:r>
      <w:r>
        <w:t xml:space="preserve">. Quanto maior a taxa, maior </w:t>
      </w:r>
      <w:r w:rsidR="00790FBB">
        <w:t>adesão à RNDS</w:t>
      </w:r>
      <w:r>
        <w:t xml:space="preserve"> e </w:t>
      </w:r>
      <w:r>
        <w:t>maior a viabilidade do histórico clínico unificado. Taxas baixas indicam lacunas de integração</w:t>
      </w:r>
      <w:r w:rsidR="00790FBB">
        <w:t>.</w:t>
      </w:r>
    </w:p>
    <w:p w14:paraId="51057121" w14:textId="77777777" w:rsidR="0049017B" w:rsidRDefault="0049017B">
      <w:pPr>
        <w:jc w:val="both"/>
        <w:rPr>
          <w:b/>
          <w:bCs/>
        </w:rPr>
      </w:pPr>
    </w:p>
    <w:p w14:paraId="58D1E62A" w14:textId="77777777" w:rsidR="0049017B" w:rsidRDefault="00AD33B5">
      <w:pPr>
        <w:jc w:val="both"/>
        <w:rPr>
          <w:b/>
          <w:bCs/>
        </w:rPr>
      </w:pPr>
      <w:r>
        <w:rPr>
          <w:b/>
          <w:bCs/>
        </w:rPr>
        <w:t>3. Usos</w:t>
      </w:r>
    </w:p>
    <w:p w14:paraId="0777B7AC" w14:textId="77777777" w:rsidR="0049017B" w:rsidRDefault="00AD33B5">
      <w:pPr>
        <w:numPr>
          <w:ilvl w:val="0"/>
          <w:numId w:val="1"/>
        </w:numPr>
        <w:spacing w:after="0"/>
        <w:jc w:val="both"/>
      </w:pPr>
      <w:r>
        <w:t>Avaliar a cobertura da Rede Nacional de Dados em Saúde no território nacional;</w:t>
      </w:r>
    </w:p>
    <w:p w14:paraId="16CDEFDE" w14:textId="77777777" w:rsidR="0049017B" w:rsidRDefault="00AD33B5">
      <w:pPr>
        <w:numPr>
          <w:ilvl w:val="0"/>
          <w:numId w:val="1"/>
        </w:numPr>
        <w:spacing w:after="0"/>
        <w:jc w:val="both"/>
      </w:pPr>
      <w:r>
        <w:t>Monitorar a expansão da interoperabilidade</w:t>
      </w:r>
      <w:r>
        <w:t xml:space="preserve"> entre diferentes níveis de atenção;</w:t>
      </w:r>
    </w:p>
    <w:p w14:paraId="7577DBD5" w14:textId="2EDD9F96" w:rsidR="0049017B" w:rsidRDefault="00AD33B5">
      <w:pPr>
        <w:numPr>
          <w:ilvl w:val="0"/>
          <w:numId w:val="1"/>
        </w:numPr>
        <w:spacing w:after="0"/>
        <w:jc w:val="both"/>
      </w:pPr>
      <w:r>
        <w:t>Apoiar o planejamento de infraestrutura de conectividade e integração de sistemas municipais e estaduais.</w:t>
      </w:r>
    </w:p>
    <w:p w14:paraId="07400D72" w14:textId="783DCED7" w:rsidR="00790FBB" w:rsidRDefault="00790FBB">
      <w:pPr>
        <w:numPr>
          <w:ilvl w:val="0"/>
          <w:numId w:val="1"/>
        </w:numPr>
        <w:spacing w:after="0"/>
        <w:jc w:val="both"/>
      </w:pPr>
      <w:r w:rsidRPr="00790FBB">
        <w:t>O indicador permite identificar municípios com baixa interoperabilidade, orientando ações de capacitação, infraestrutura ou regulação para garantir que os dados cheguem à RNDS.</w:t>
      </w:r>
    </w:p>
    <w:p w14:paraId="12395F76" w14:textId="77777777" w:rsidR="0049017B" w:rsidRDefault="0049017B">
      <w:pPr>
        <w:jc w:val="both"/>
        <w:rPr>
          <w:b/>
          <w:bCs/>
        </w:rPr>
      </w:pPr>
    </w:p>
    <w:p w14:paraId="3E0FE6B1" w14:textId="77777777" w:rsidR="0049017B" w:rsidRDefault="00AD33B5">
      <w:pPr>
        <w:jc w:val="both"/>
        <w:rPr>
          <w:b/>
          <w:bCs/>
        </w:rPr>
      </w:pPr>
      <w:r>
        <w:rPr>
          <w:b/>
          <w:bCs/>
        </w:rPr>
        <w:t>4. Limitações</w:t>
      </w:r>
    </w:p>
    <w:p w14:paraId="623D08FF" w14:textId="63DC0A48" w:rsidR="0049017B" w:rsidRPr="00015718" w:rsidRDefault="00AD33B5">
      <w:pPr>
        <w:jc w:val="both"/>
        <w:rPr>
          <w:color w:val="FF0000"/>
        </w:rPr>
      </w:pPr>
      <w:commentRangeStart w:id="0"/>
      <w:commentRangeStart w:id="1"/>
      <w:r w:rsidRPr="00015718">
        <w:rPr>
          <w:color w:val="FF0000"/>
        </w:rPr>
        <w:t xml:space="preserve">Depende da qualidade do campo de endereço residencial no CADSUS e da atualização das </w:t>
      </w:r>
      <w:commentRangeEnd w:id="0"/>
      <w:r w:rsidR="00015718">
        <w:rPr>
          <w:rStyle w:val="Refdecomentrio"/>
        </w:rPr>
        <w:commentReference w:id="0"/>
      </w:r>
      <w:commentRangeEnd w:id="1"/>
      <w:r w:rsidR="00BA7DDA">
        <w:rPr>
          <w:rStyle w:val="Refdecomentrio"/>
        </w:rPr>
        <w:commentReference w:id="1"/>
      </w:r>
      <w:r w:rsidRPr="00015718">
        <w:rPr>
          <w:color w:val="FF0000"/>
        </w:rPr>
        <w:t>estimativas p</w:t>
      </w:r>
      <w:r w:rsidRPr="00015718">
        <w:rPr>
          <w:color w:val="FF0000"/>
        </w:rPr>
        <w:t xml:space="preserve">opulacionais do IBGE. Pode haver subestimação e vieses em áreas com alta rotatividade migratória ou </w:t>
      </w:r>
      <w:r w:rsidR="00015718" w:rsidRPr="00015718">
        <w:rPr>
          <w:color w:val="FF0000"/>
        </w:rPr>
        <w:t xml:space="preserve">limitação tecnológica. </w:t>
      </w:r>
      <w:r w:rsidRPr="00015718">
        <w:rPr>
          <w:color w:val="FF0000"/>
        </w:rPr>
        <w:t>A qualidade dos dados da RNDS inclui limitações relacionadas ao escopo total de dados, uma vez que algumas variáveis são pr</w:t>
      </w:r>
      <w:r w:rsidRPr="00015718">
        <w:rPr>
          <w:color w:val="FF0000"/>
        </w:rPr>
        <w:t>ovenientes do CADSUS e o Ministério da Saúde não possui governabilidade para melhorar diretamente a qualidade destes dados.</w:t>
      </w:r>
    </w:p>
    <w:p w14:paraId="5A8F19F8" w14:textId="77777777" w:rsidR="0049017B" w:rsidRDefault="0049017B">
      <w:pPr>
        <w:jc w:val="both"/>
        <w:rPr>
          <w:b/>
          <w:bCs/>
        </w:rPr>
      </w:pPr>
    </w:p>
    <w:p w14:paraId="3EE42F30" w14:textId="77777777" w:rsidR="0049017B" w:rsidRDefault="00AD33B5">
      <w:pPr>
        <w:jc w:val="both"/>
        <w:rPr>
          <w:b/>
          <w:bCs/>
        </w:rPr>
      </w:pPr>
      <w:r>
        <w:rPr>
          <w:b/>
          <w:bCs/>
        </w:rPr>
        <w:t>5. Fonte</w:t>
      </w:r>
    </w:p>
    <w:p w14:paraId="52F31416" w14:textId="32789272" w:rsidR="0049017B" w:rsidRDefault="00AD33B5">
      <w:pPr>
        <w:jc w:val="both"/>
        <w:rPr>
          <w:b/>
          <w:bCs/>
        </w:rPr>
      </w:pPr>
      <w:r>
        <w:t xml:space="preserve">Modelos Informacionais da RNDS </w:t>
      </w:r>
      <w:r>
        <w:t>e Estimativas Populacionais (IBGE).</w:t>
      </w:r>
    </w:p>
    <w:p w14:paraId="52566D0D" w14:textId="77777777" w:rsidR="0049017B" w:rsidRDefault="00AD33B5">
      <w:pPr>
        <w:jc w:val="both"/>
        <w:rPr>
          <w:b/>
          <w:bCs/>
        </w:rPr>
      </w:pPr>
      <w:r>
        <w:rPr>
          <w:b/>
          <w:bCs/>
        </w:rPr>
        <w:t>6. Método de Cálculo</w:t>
      </w:r>
    </w:p>
    <w:p w14:paraId="58A27C7D" w14:textId="77777777" w:rsidR="0049017B" w:rsidRDefault="00AD33B5">
      <w:pPr>
        <w:jc w:val="both"/>
      </w:pPr>
      <w:r>
        <w:t>(Número de residentes únicos com registros na RNDS / População total da área) * 100.000</w:t>
      </w:r>
    </w:p>
    <w:p w14:paraId="6C8EAF69" w14:textId="77777777" w:rsidR="0049017B" w:rsidRDefault="0049017B">
      <w:pPr>
        <w:spacing w:after="0"/>
        <w:jc w:val="both"/>
        <w:rPr>
          <w:b/>
          <w:bCs/>
        </w:rPr>
      </w:pPr>
    </w:p>
    <w:p w14:paraId="38EC2D7B" w14:textId="77777777" w:rsidR="0049017B" w:rsidRDefault="00AD33B5">
      <w:pPr>
        <w:spacing w:after="0"/>
        <w:jc w:val="both"/>
        <w:rPr>
          <w:b/>
          <w:bCs/>
        </w:rPr>
      </w:pPr>
      <w:r>
        <w:rPr>
          <w:b/>
          <w:bCs/>
        </w:rPr>
        <w:t>7. Categorias sugeridas para análise</w:t>
      </w:r>
    </w:p>
    <w:p w14:paraId="57999588" w14:textId="77777777" w:rsidR="0049017B" w:rsidRDefault="00AD33B5">
      <w:pPr>
        <w:numPr>
          <w:ilvl w:val="0"/>
          <w:numId w:val="2"/>
        </w:numPr>
        <w:spacing w:after="0"/>
        <w:jc w:val="both"/>
      </w:pPr>
      <w:r>
        <w:t>Unidade geográfica (Região, UF, Município).</w:t>
      </w:r>
    </w:p>
    <w:p w14:paraId="3A0A780B" w14:textId="54B3E3A6" w:rsidR="0049017B" w:rsidRDefault="00AD33B5">
      <w:pPr>
        <w:numPr>
          <w:ilvl w:val="0"/>
          <w:numId w:val="2"/>
        </w:numPr>
        <w:spacing w:after="0"/>
        <w:jc w:val="both"/>
      </w:pPr>
      <w:r>
        <w:t>Período (Mensal, Trimestral, Anual</w:t>
      </w:r>
      <w:r w:rsidR="002A0D64">
        <w:t xml:space="preserve"> (consolidado e acumulado até o ano de análise)</w:t>
      </w:r>
      <w:r>
        <w:t>).</w:t>
      </w:r>
    </w:p>
    <w:p w14:paraId="3EAC1E94" w14:textId="77777777" w:rsidR="0049017B" w:rsidRDefault="00AD33B5">
      <w:pPr>
        <w:numPr>
          <w:ilvl w:val="0"/>
          <w:numId w:val="2"/>
        </w:numPr>
        <w:spacing w:after="0"/>
        <w:jc w:val="both"/>
      </w:pPr>
      <w:r>
        <w:t>Modelo Informacional (Transversal).</w:t>
      </w:r>
    </w:p>
    <w:p w14:paraId="6C1DF2C6" w14:textId="77777777" w:rsidR="0049017B" w:rsidRDefault="0049017B">
      <w:pPr>
        <w:spacing w:after="0"/>
        <w:jc w:val="both"/>
      </w:pPr>
    </w:p>
    <w:p w14:paraId="53F77C0E" w14:textId="77777777" w:rsidR="0049017B" w:rsidRDefault="00AD33B5">
      <w:pPr>
        <w:spacing w:after="200"/>
        <w:jc w:val="both"/>
      </w:pPr>
      <w:r>
        <w:rPr>
          <w:b/>
          <w:bCs/>
        </w:rPr>
        <w:t>8. Referência</w:t>
      </w:r>
    </w:p>
    <w:p w14:paraId="585F151A" w14:textId="77777777" w:rsidR="0049017B" w:rsidRDefault="00AD33B5">
      <w:pPr>
        <w:spacing w:after="0"/>
        <w:ind w:left="720"/>
        <w:jc w:val="both"/>
      </w:pPr>
      <w:r>
        <w:lastRenderedPageBreak/>
        <w:t xml:space="preserve">Modelo da Ficha de Qualificação de Indicadores (FQI). RIPSA – Rede Interagencial de Informações para a Saúde. Disponível em: https://www.ripsa.org.br/indicadores/fqi/. </w:t>
      </w:r>
      <w:r>
        <w:br/>
        <w:t xml:space="preserve">Modelo aplicado: </w:t>
      </w:r>
      <w:hyperlink r:id="rId14">
        <w:r>
          <w:t>http://tabnet.datasus.gov.br/tabdata/livroidb/2ed/indicadores.pdf</w:t>
        </w:r>
      </w:hyperlink>
      <w:r>
        <w:t xml:space="preserve">. </w:t>
      </w:r>
    </w:p>
    <w:p w14:paraId="52B9757D" w14:textId="77777777" w:rsidR="0049017B" w:rsidRDefault="00AD33B5">
      <w:pPr>
        <w:spacing w:after="0"/>
        <w:ind w:left="720"/>
        <w:jc w:val="both"/>
      </w:pPr>
      <w:r>
        <w:t>Acesso em: 10 abr. 2025.</w:t>
      </w:r>
    </w:p>
    <w:p w14:paraId="2FDD1D98" w14:textId="77777777" w:rsidR="0049017B" w:rsidRDefault="00AD33B5">
      <w:pPr>
        <w:spacing w:after="200" w:line="240" w:lineRule="auto"/>
        <w:rPr>
          <w:b/>
          <w:bCs/>
        </w:rPr>
      </w:pPr>
      <w:r>
        <w:pict w14:anchorId="32E6A501">
          <v:rect id="_x0000_i1025" style="width:0;height:1.5pt" o:hralign="center" o:hrstd="t" o:hr="t" fillcolor="#a0a0a0" stroked="f"/>
        </w:pict>
      </w:r>
    </w:p>
    <w:p w14:paraId="50C51A3F" w14:textId="77777777" w:rsidR="0049017B" w:rsidRDefault="00AD33B5">
      <w:pPr>
        <w:jc w:val="center"/>
        <w:rPr>
          <w:b/>
          <w:bCs/>
        </w:rPr>
      </w:pPr>
      <w:r>
        <w:rPr>
          <w:b/>
          <w:bCs/>
        </w:rPr>
        <w:t>FICHA DE REQUISITOS</w:t>
      </w:r>
    </w:p>
    <w:p w14:paraId="348CCE69" w14:textId="77777777" w:rsidR="0049017B" w:rsidRDefault="0049017B">
      <w:pPr>
        <w:rPr>
          <w:b/>
          <w:bCs/>
        </w:rPr>
      </w:pPr>
    </w:p>
    <w:tbl>
      <w:tblPr>
        <w:tblStyle w:val="a2"/>
        <w:tblW w:w="92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95"/>
        <w:gridCol w:w="6615"/>
      </w:tblGrid>
      <w:tr w:rsidR="0049017B" w14:paraId="20062B17" w14:textId="77777777">
        <w:trPr>
          <w:trHeight w:val="214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75EB9" w14:textId="77777777" w:rsidR="0049017B" w:rsidRDefault="00AD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9AB1D" w14:textId="77777777" w:rsidR="0049017B" w:rsidRDefault="00AD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49017B" w14:paraId="62ABBADC" w14:textId="77777777">
        <w:trPr>
          <w:trHeight w:val="474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FC3A2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Nome do Indicador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0F31F" w14:textId="77777777" w:rsidR="0049017B" w:rsidRDefault="00AD33B5">
            <w:pPr>
              <w:spacing w:after="0" w:line="240" w:lineRule="auto"/>
            </w:pPr>
            <w:r>
              <w:t>Ta</w:t>
            </w:r>
            <w:r>
              <w:t>xa de residentes, a cada 100 mil habitantes, com registros interoperáveis na RNDS</w:t>
            </w:r>
          </w:p>
        </w:tc>
      </w:tr>
      <w:tr w:rsidR="0049017B" w14:paraId="07036BC6" w14:textId="77777777">
        <w:trPr>
          <w:trHeight w:val="549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C7883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Descrição Técnica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83DB0" w14:textId="77777777" w:rsidR="0049017B" w:rsidRDefault="00AD33B5">
            <w:pPr>
              <w:spacing w:after="0" w:line="240" w:lineRule="auto"/>
            </w:pPr>
            <w:r>
              <w:t>Taxa de indivíduos únicos identificados na RNDS, filtrados por código IBGE de residência, em relação à população residente.</w:t>
            </w:r>
          </w:p>
        </w:tc>
      </w:tr>
      <w:tr w:rsidR="0049017B" w14:paraId="7239E801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A2E73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Fórmula de Cálculo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4A900" w14:textId="77777777" w:rsidR="0049017B" w:rsidRDefault="00AD33B5">
            <w:pPr>
              <w:spacing w:after="0" w:line="240" w:lineRule="auto"/>
            </w:pPr>
            <w:r>
              <w:t>SQL: (COUNT(DISTINCT co_paciente) / pop_residente) * 100000</w:t>
            </w:r>
          </w:p>
          <w:p w14:paraId="683439D1" w14:textId="77777777" w:rsidR="0049017B" w:rsidRDefault="00AD33B5">
            <w:pPr>
              <w:spacing w:after="0" w:line="240" w:lineRule="auto"/>
            </w:pPr>
            <w:r>
              <w:t>R: i013 &lt;- (n_distinct(dados$co_paciente) / pop_ibge</w:t>
            </w:r>
            <w:r>
              <w:t>) * 100000</w:t>
            </w:r>
          </w:p>
          <w:p w14:paraId="369AF871" w14:textId="77777777" w:rsidR="0049017B" w:rsidRDefault="00AD33B5">
            <w:pPr>
              <w:spacing w:after="0" w:line="240" w:lineRule="auto"/>
            </w:pPr>
            <w:r>
              <w:t>DAX: i013 = DIVIDE(DISTINCTCOUNT(Tabela[co_paciente]), SUM(Populacao[Valor])) * 100000</w:t>
            </w:r>
          </w:p>
        </w:tc>
      </w:tr>
      <w:tr w:rsidR="0049017B" w14:paraId="0E416331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67037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Campos Necessários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BBF93" w14:textId="77777777" w:rsidR="0049017B" w:rsidRDefault="00AD33B5">
            <w:pPr>
              <w:spacing w:after="0" w:line="240" w:lineRule="auto"/>
            </w:pPr>
            <w:r>
              <w:t>co_paciente, co_municipio_residencia, status, dt_evento.</w:t>
            </w:r>
          </w:p>
        </w:tc>
      </w:tr>
      <w:tr w:rsidR="0049017B" w14:paraId="13FB64B5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6FAC8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Tabelas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FBC66" w14:textId="77777777" w:rsidR="0049017B" w:rsidRDefault="00AD33B5">
            <w:pPr>
              <w:spacing w:after="0" w:line="240" w:lineRule="auto"/>
            </w:pPr>
            <w:r>
              <w:t>Tabela enriquecida da RNDS e Tabela de População IBGE (Datalake).</w:t>
            </w:r>
          </w:p>
        </w:tc>
      </w:tr>
      <w:tr w:rsidR="0049017B" w14:paraId="0AEDB280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32A74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Sistema de Origem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06E8B" w14:textId="77777777" w:rsidR="0049017B" w:rsidRDefault="00AD33B5">
            <w:pPr>
              <w:spacing w:after="0" w:line="240" w:lineRule="auto"/>
            </w:pPr>
            <w:r>
              <w:t>Todos da RNDS (Transversal).</w:t>
            </w:r>
          </w:p>
        </w:tc>
      </w:tr>
      <w:tr w:rsidR="0049017B" w14:paraId="1F6DD79B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59078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Período de Atualização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43FBC" w14:textId="77777777" w:rsidR="0049017B" w:rsidRDefault="00AD33B5">
            <w:pPr>
              <w:spacing w:after="0" w:line="240" w:lineRule="auto"/>
            </w:pPr>
            <w:r>
              <w:t>Mensal.</w:t>
            </w:r>
          </w:p>
        </w:tc>
      </w:tr>
      <w:tr w:rsidR="0049017B" w14:paraId="198DD1D7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513A6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Regras de Negócio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FA5F0" w14:textId="77777777" w:rsidR="0049017B" w:rsidRDefault="00AD33B5">
            <w:pPr>
              <w:spacing w:after="0" w:line="240" w:lineRule="auto"/>
            </w:pPr>
            <w:r>
              <w:t>Considerar apenas registros com status = 'final'. O vínculo geográfico deve ser o município</w:t>
            </w:r>
            <w:r>
              <w:t xml:space="preserve"> de residência do cidadão, independentemente do local do atendimento.</w:t>
            </w:r>
          </w:p>
        </w:tc>
      </w:tr>
      <w:tr w:rsidR="0049017B" w14:paraId="69BF6C73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7DD13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Tipo de Dado Esperado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9160A" w14:textId="77777777" w:rsidR="0049017B" w:rsidRDefault="00AD33B5">
            <w:pPr>
              <w:spacing w:after="0" w:line="240" w:lineRule="auto"/>
            </w:pPr>
            <w:r>
              <w:t>Valor numérico (Taxa).</w:t>
            </w:r>
          </w:p>
        </w:tc>
      </w:tr>
      <w:tr w:rsidR="0049017B" w14:paraId="437331D0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06A6A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Desagregações Possíveis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F6143" w14:textId="77777777" w:rsidR="0049017B" w:rsidRDefault="00AD33B5">
            <w:pPr>
              <w:spacing w:after="0" w:line="240" w:lineRule="auto"/>
            </w:pPr>
            <w:r>
              <w:t>UF, Município, Região, Modelo Informacional, Ano/Mês.</w:t>
            </w:r>
          </w:p>
        </w:tc>
      </w:tr>
      <w:tr w:rsidR="0049017B" w14:paraId="76705E82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AD6AC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Validações Esperadas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A63B9" w14:textId="77777777" w:rsidR="0049017B" w:rsidRDefault="00AD33B5">
            <w:pPr>
              <w:spacing w:after="0" w:line="240" w:lineRule="auto"/>
            </w:pPr>
            <w:r>
              <w:t>Identificação única de pacientes (de-duplication) antes da contagem.</w:t>
            </w:r>
          </w:p>
        </w:tc>
      </w:tr>
      <w:tr w:rsidR="0049017B" w14:paraId="6DEE27E5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6AB2B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Data de Implantação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179E5" w14:textId="77777777" w:rsidR="0049017B" w:rsidRDefault="00AD33B5">
            <w:pPr>
              <w:spacing w:after="0" w:line="240" w:lineRule="auto"/>
            </w:pPr>
            <w:r>
              <w:t>Abril de 2025.</w:t>
            </w:r>
          </w:p>
        </w:tc>
      </w:tr>
      <w:tr w:rsidR="0049017B" w14:paraId="05033DCB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D76FF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Responsável Técnico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B09C0" w14:textId="77777777" w:rsidR="0049017B" w:rsidRDefault="00AD33B5">
            <w:pPr>
              <w:spacing w:after="0" w:line="240" w:lineRule="auto"/>
            </w:pPr>
            <w:r>
              <w:t>Equipe ISC/UFBA na Meta 2 – Estatísticos e cientistas de dados responsáveis pela implantação do BI.</w:t>
            </w:r>
          </w:p>
          <w:p w14:paraId="25C1E0EB" w14:textId="77777777" w:rsidR="0049017B" w:rsidRDefault="0049017B">
            <w:pPr>
              <w:spacing w:after="0" w:line="240" w:lineRule="auto"/>
            </w:pPr>
          </w:p>
          <w:p w14:paraId="19DE6CDE" w14:textId="77777777" w:rsidR="0049017B" w:rsidRDefault="00AD33B5">
            <w:pPr>
              <w:spacing w:after="0" w:line="240" w:lineRule="auto"/>
            </w:pPr>
            <w:r>
              <w:t>Equipe do Ministério da Saúde</w:t>
            </w:r>
            <w:r>
              <w:t xml:space="preserve"> – Sanitaristas e engenheiros de dados responsáveis pelos requisitos e validação.</w:t>
            </w:r>
          </w:p>
        </w:tc>
      </w:tr>
      <w:tr w:rsidR="0049017B" w14:paraId="0FCAAA63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6509D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Fonte Complementar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2F75E5" w14:textId="77777777" w:rsidR="0049017B" w:rsidRDefault="00AD33B5">
            <w:pPr>
              <w:spacing w:after="0" w:line="240" w:lineRule="auto"/>
            </w:pPr>
            <w:r>
              <w:t>Dicionário de dados da RNDS; Censo/Estimativas Populacionais IBGE.</w:t>
            </w:r>
          </w:p>
        </w:tc>
      </w:tr>
      <w:tr w:rsidR="0049017B" w14:paraId="7D3FC25B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7436C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Referência do Indicador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26D8F" w14:textId="77777777" w:rsidR="0049017B" w:rsidRDefault="00AD33B5">
            <w:pPr>
              <w:spacing w:after="0" w:line="240" w:lineRule="auto"/>
            </w:pPr>
            <w:r>
              <w:t>Código sugerido: i013dqcbmitv</w:t>
            </w:r>
          </w:p>
          <w:p w14:paraId="5D91F35E" w14:textId="77777777" w:rsidR="0049017B" w:rsidRDefault="0049017B">
            <w:pPr>
              <w:spacing w:after="0" w:line="240" w:lineRule="auto"/>
            </w:pPr>
          </w:p>
          <w:p w14:paraId="433256FB" w14:textId="77777777" w:rsidR="0049017B" w:rsidRDefault="00AD33B5">
            <w:pPr>
              <w:spacing w:after="0" w:line="240" w:lineRule="auto"/>
            </w:pPr>
            <w:r>
              <w:t>(i = indicador; 013 = ordem; dq</w:t>
            </w:r>
            <w:r>
              <w:t xml:space="preserve"> = dimensão de qualidade; cb = cobertura; tv = transversal).</w:t>
            </w:r>
          </w:p>
        </w:tc>
      </w:tr>
      <w:tr w:rsidR="0049017B" w14:paraId="54DA38CF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021D6" w14:textId="77777777" w:rsidR="0049017B" w:rsidRDefault="00AD33B5">
            <w:pPr>
              <w:keepNext/>
              <w:keepLines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Versão da Ficha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EBD20" w14:textId="77777777" w:rsidR="0049017B" w:rsidRDefault="00AD33B5">
            <w:pPr>
              <w:keepNext/>
              <w:keepLines/>
              <w:spacing w:after="0" w:line="240" w:lineRule="auto"/>
            </w:pPr>
            <w:r>
              <w:t>Versão 1.0 em 11.02.2026.</w:t>
            </w:r>
          </w:p>
        </w:tc>
      </w:tr>
      <w:tr w:rsidR="0049017B" w14:paraId="12AC3154" w14:textId="77777777"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24247" w14:textId="77777777" w:rsidR="0049017B" w:rsidRDefault="00AD33B5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Referência Técnica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578E9" w14:textId="77777777" w:rsidR="0049017B" w:rsidRDefault="00AD33B5">
            <w:pPr>
              <w:spacing w:after="0" w:line="240" w:lineRule="auto"/>
            </w:pPr>
            <w:r w:rsidRPr="002A0D64">
              <w:rPr>
                <w:lang w:val="fr-FR"/>
              </w:rPr>
              <w:t xml:space="preserve">SOMMERVILLE, Ian. Engenharia de Software. </w:t>
            </w:r>
            <w:r>
              <w:t>9ª ed. Tradução Ivan Bosnic e Kalinka G. de O. Gonçalves. Revisão técnica Kechi Hirama. São Paulo: Pearson Prentice Hall, 2011. Capítulo 4, p. 64-65. Organização da ficha de requisitos em norma IEEE para documentos</w:t>
            </w:r>
            <w:r>
              <w:t xml:space="preserve"> de requisitos (IEEE, 1998), adaptada para painéis de BI em saúde.</w:t>
            </w:r>
          </w:p>
        </w:tc>
      </w:tr>
    </w:tbl>
    <w:p w14:paraId="72ED1D35" w14:textId="77777777" w:rsidR="0049017B" w:rsidRDefault="0049017B">
      <w:pPr>
        <w:spacing w:after="200"/>
        <w:rPr>
          <w:b/>
          <w:bCs/>
        </w:rPr>
      </w:pPr>
    </w:p>
    <w:sectPr w:rsidR="0049017B">
      <w:footerReference w:type="even" r:id="rId15"/>
      <w:footerReference w:type="default" r:id="rId16"/>
      <w:pgSz w:w="11906" w:h="16838"/>
      <w:pgMar w:top="1134" w:right="1440" w:bottom="993" w:left="1440" w:header="720" w:footer="720" w:gutter="0"/>
      <w:pgNumType w:start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esquisa" w:date="2026-05-08T10:58:00Z" w:initials="P">
    <w:p w14:paraId="471E0DEE" w14:textId="20D536A9" w:rsidR="00015718" w:rsidRDefault="00015718">
      <w:pPr>
        <w:pStyle w:val="Textodecomentrio"/>
      </w:pPr>
      <w:r>
        <w:rPr>
          <w:rStyle w:val="Refdecomentrio"/>
        </w:rPr>
        <w:annotationRef/>
      </w:r>
      <w:r>
        <w:t>Har</w:t>
      </w:r>
      <w:r w:rsidR="00BA7DDA">
        <w:t>monizar esse parágrafo.</w:t>
      </w:r>
    </w:p>
  </w:comment>
  <w:comment w:id="1" w:author="Pesquisa" w:date="2026-05-08T10:59:00Z" w:initials="P">
    <w:p w14:paraId="196C7690" w14:textId="710D30E0" w:rsidR="00BA7DDA" w:rsidRDefault="00BA7DDA">
      <w:pPr>
        <w:pStyle w:val="Textodecomentrio"/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1E0DEE" w15:done="0"/>
  <w15:commentEx w15:paraId="196C7690" w15:paraIdParent="471E0D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A8406F" w16cex:dateUtc="2026-05-08T13:58:00Z"/>
  <w16cex:commentExtensible w16cex:durableId="2DA8409A" w16cex:dateUtc="2026-05-08T13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1E0DEE" w16cid:durableId="2DA8406F"/>
  <w16cid:commentId w16cid:paraId="196C7690" w16cid:durableId="2DA840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DBAC8" w14:textId="77777777" w:rsidR="00AD33B5" w:rsidRDefault="00AD33B5">
      <w:pPr>
        <w:spacing w:after="0" w:line="240" w:lineRule="auto"/>
      </w:pPr>
      <w:r>
        <w:separator/>
      </w:r>
    </w:p>
  </w:endnote>
  <w:endnote w:type="continuationSeparator" w:id="0">
    <w:p w14:paraId="695664B2" w14:textId="77777777" w:rsidR="00AD33B5" w:rsidRDefault="00AD3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271ED13-BA2D-4C60-BD56-9EBA21CB6E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r:id="rId2" w:fontKey="{9052F0A4-0102-459D-A6F3-19103E951178}"/>
    <w:embedBold r:id="rId3" w:fontKey="{57205CBE-DE3B-4D62-8D5B-2A5C51D61854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FEAFC4C5-1E48-4ACE-BCE4-AA36718CB8C6}"/>
    <w:embedBold r:id="rId5" w:fontKey="{BFEF0C69-FC64-49A1-AB85-56F286A80059}"/>
    <w:embedItalic r:id="rId6" w:fontKey="{27A10635-7066-4768-8B4C-56F692EA9715}"/>
    <w:embedBoldItalic r:id="rId7" w:fontKey="{0DAE8DB8-D912-4967-A24A-366D5D20FD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roman"/>
    <w:notTrueType/>
    <w:pitch w:val="default"/>
    <w:embedRegular r:id="rId8" w:fontKey="{4DCDBB77-3B2D-4D18-9EDA-9BF517DAEB57}"/>
  </w:font>
  <w:font w:name="Franklin Gothic Demi Cond">
    <w:panose1 w:val="020B0706030402020204"/>
    <w:charset w:val="00"/>
    <w:family w:val="roman"/>
    <w:notTrueType/>
    <w:pitch w:val="default"/>
    <w:embedBold r:id="rId9" w:fontKey="{7C3F8837-737A-4D6A-BA7C-F819C07519B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7D18562C-83FB-469C-920C-1CA3E3DF45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AD687" w14:textId="77777777" w:rsidR="0049017B" w:rsidRDefault="00AD33B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4276661" wp14:editId="768F42FE">
              <wp:simplePos x="0" y="0"/>
              <wp:positionH relativeFrom="column">
                <wp:posOffset>6916738</wp:posOffset>
              </wp:positionH>
              <wp:positionV relativeFrom="paragraph">
                <wp:posOffset>211138</wp:posOffset>
              </wp:positionV>
              <wp:extent cx="539750" cy="539750"/>
              <wp:effectExtent l="0" t="0" r="0" b="0"/>
              <wp:wrapNone/>
              <wp:docPr id="1964175713" name="Retângulo: Cantos Arredondados 19641757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CD2EF4" w14:textId="77777777" w:rsidR="0049017B" w:rsidRDefault="00AD33B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4448"/>
                              <w:sz w:val="36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6916738</wp:posOffset>
              </wp:positionH>
              <wp:positionV relativeFrom="paragraph">
                <wp:posOffset>211138</wp:posOffset>
              </wp:positionV>
              <wp:extent cx="539750" cy="539750"/>
              <wp:effectExtent b="0" l="0" r="0" t="0"/>
              <wp:wrapNone/>
              <wp:docPr id="196417571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750" cy="539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CD1E" w14:textId="77777777" w:rsidR="0049017B" w:rsidRDefault="00AD33B5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10A0D78" wp14:editId="29B3B6E5">
              <wp:simplePos x="0" y="0"/>
              <wp:positionH relativeFrom="column">
                <wp:posOffset>6878638</wp:posOffset>
              </wp:positionH>
              <wp:positionV relativeFrom="paragraph">
                <wp:posOffset>198438</wp:posOffset>
              </wp:positionV>
              <wp:extent cx="539750" cy="539750"/>
              <wp:effectExtent l="0" t="0" r="0" b="0"/>
              <wp:wrapNone/>
              <wp:docPr id="1964175715" name="Retângulo: Cantos Arredondados 19641757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742FD527" w14:textId="77777777" w:rsidR="0049017B" w:rsidRDefault="00AD33B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4448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4448"/>
                              <w:sz w:val="36"/>
                            </w:rPr>
                            <w:t>PAGE  \* Arabic  \* MERGEFORMAT 1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6878638</wp:posOffset>
              </wp:positionH>
              <wp:positionV relativeFrom="paragraph">
                <wp:posOffset>198438</wp:posOffset>
              </wp:positionV>
              <wp:extent cx="539750" cy="539750"/>
              <wp:effectExtent b="0" l="0" r="0" t="0"/>
              <wp:wrapNone/>
              <wp:docPr id="19641757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750" cy="539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E6AC3BA" w14:textId="77777777" w:rsidR="0049017B" w:rsidRDefault="004901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36249" w14:textId="77777777" w:rsidR="00AD33B5" w:rsidRDefault="00AD33B5">
      <w:pPr>
        <w:spacing w:after="0" w:line="240" w:lineRule="auto"/>
      </w:pPr>
      <w:r>
        <w:separator/>
      </w:r>
    </w:p>
  </w:footnote>
  <w:footnote w:type="continuationSeparator" w:id="0">
    <w:p w14:paraId="39BA6A7F" w14:textId="77777777" w:rsidR="00AD33B5" w:rsidRDefault="00AD3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67941"/>
    <w:multiLevelType w:val="multilevel"/>
    <w:tmpl w:val="1472B7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B3B0A27"/>
    <w:multiLevelType w:val="multilevel"/>
    <w:tmpl w:val="4484D95C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CBE73E2"/>
    <w:multiLevelType w:val="multilevel"/>
    <w:tmpl w:val="E81899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esquisa">
    <w15:presenceInfo w15:providerId="None" w15:userId="Pesquis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17B"/>
    <w:rsid w:val="00015718"/>
    <w:rsid w:val="000E268F"/>
    <w:rsid w:val="0021777C"/>
    <w:rsid w:val="002A0D64"/>
    <w:rsid w:val="0049017B"/>
    <w:rsid w:val="00790FBB"/>
    <w:rsid w:val="00AD33B5"/>
    <w:rsid w:val="00BA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0D78"/>
  <w15:docId w15:val="{6FFE27E5-FBCA-4AF2-B94F-67AEAC74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PT" w:eastAsia="pt-B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00" w:after="40" w:line="240" w:lineRule="auto"/>
      <w:outlineLvl w:val="0"/>
    </w:pPr>
    <w:rPr>
      <w:rFonts w:ascii="Libre Franklin" w:eastAsia="Libre Franklin" w:hAnsi="Libre Franklin" w:cs="Libre Franklin"/>
      <w:color w:val="00656B"/>
      <w:sz w:val="56"/>
      <w:szCs w:val="5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40" w:after="40" w:line="240" w:lineRule="auto"/>
      <w:outlineLvl w:val="1"/>
    </w:pPr>
    <w:rPr>
      <w:rFonts w:ascii="Libre Franklin" w:eastAsia="Libre Franklin" w:hAnsi="Libre Franklin" w:cs="Libre Franklin"/>
      <w:color w:val="595959"/>
      <w:sz w:val="44"/>
      <w:szCs w:val="4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40" w:line="240" w:lineRule="auto"/>
      <w:outlineLvl w:val="2"/>
    </w:pPr>
    <w:rPr>
      <w:rFonts w:ascii="Libre Franklin" w:eastAsia="Libre Franklin" w:hAnsi="Libre Franklin" w:cs="Libre Franklin"/>
      <w:color w:val="595959"/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240" w:after="0"/>
      <w:outlineLvl w:val="3"/>
    </w:pPr>
    <w:rPr>
      <w:rFonts w:ascii="Arial Black" w:eastAsia="Arial Black" w:hAnsi="Arial Black" w:cs="Arial Black"/>
      <w:b/>
      <w:bCs/>
      <w:color w:val="8DA523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00" w:after="0"/>
      <w:outlineLvl w:val="4"/>
    </w:pPr>
    <w:rPr>
      <w:rFonts w:ascii="Arial Black" w:eastAsia="Arial Black" w:hAnsi="Arial Black" w:cs="Arial Black"/>
      <w:b/>
      <w:bCs/>
      <w:i/>
      <w:iCs/>
      <w:color w:val="8DA523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0"/>
      <w:outlineLvl w:val="5"/>
    </w:pPr>
    <w:rPr>
      <w:rFonts w:ascii="Arial Black" w:eastAsia="Arial Black" w:hAnsi="Arial Black" w:cs="Arial Black"/>
      <w:color w:val="5D6D17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spacing w:before="200" w:after="0"/>
      <w:outlineLvl w:val="6"/>
    </w:pPr>
    <w:rPr>
      <w:rFonts w:asciiTheme="majorHAnsi" w:hAnsiTheme="majorHAnsi"/>
      <w:i/>
      <w:color w:val="5D6D17" w:themeColor="accent3" w:themeShade="7F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spacing w:before="200" w:after="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spacing w:before="200" w:after="0"/>
      <w:outlineLvl w:val="8"/>
    </w:pPr>
    <w:rPr>
      <w:rFonts w:asciiTheme="majorHAnsi" w:hAnsiTheme="majorHAnsi"/>
      <w:i/>
      <w:color w:val="008890" w:themeColor="accent1"/>
      <w:spacing w:val="1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</w:pPr>
    <w:rPr>
      <w:rFonts w:ascii="Libre Franklin" w:eastAsia="Libre Franklin" w:hAnsi="Libre Franklin" w:cs="Libre Franklin"/>
      <w:b/>
      <w:bCs/>
      <w:color w:val="008890"/>
      <w:sz w:val="80"/>
      <w:szCs w:val="8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sid w:val="000F1DCE"/>
    <w:rPr>
      <w:rFonts w:ascii="Franklin Gothic Book" w:hAnsi="Franklin Gothic Book" w:cs="Times New Roman"/>
      <w:color w:val="00656B" w:themeColor="accent1" w:themeShade="BF"/>
      <w:spacing w:val="20"/>
      <w:sz w:val="56"/>
      <w:szCs w:val="32"/>
    </w:rPr>
  </w:style>
  <w:style w:type="character" w:customStyle="1" w:styleId="Ttulo2Char">
    <w:name w:val="Título 2 Char"/>
    <w:basedOn w:val="Fontepargpadro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44"/>
      <w:szCs w:val="28"/>
    </w:rPr>
  </w:style>
  <w:style w:type="character" w:customStyle="1" w:styleId="Ttulo3Char">
    <w:name w:val="Título 3 Char"/>
    <w:basedOn w:val="Fontepargpadro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36"/>
      <w:szCs w:val="24"/>
    </w:rPr>
  </w:style>
  <w:style w:type="character" w:customStyle="1" w:styleId="TtuloChar">
    <w:name w:val="Título Char"/>
    <w:basedOn w:val="Fontepargpadro"/>
    <w:uiPriority w:val="10"/>
    <w:rsid w:val="00814436"/>
    <w:rPr>
      <w:rFonts w:ascii="Franklin Gothic Demi Cond" w:hAnsi="Franklin Gothic Demi Cond" w:cs="Times New Roman"/>
      <w:b/>
      <w:bCs/>
      <w:color w:val="008890" w:themeColor="accent1"/>
      <w:sz w:val="80"/>
      <w:szCs w:val="48"/>
    </w:rPr>
  </w:style>
  <w:style w:type="character" w:customStyle="1" w:styleId="SubttuloChar">
    <w:name w:val="Subtítulo Char"/>
    <w:basedOn w:val="Fontepargpadro"/>
    <w:uiPriority w:val="11"/>
    <w:rsid w:val="007B346A"/>
    <w:rPr>
      <w:rFonts w:ascii="Franklin Gothic Book" w:hAnsi="Franklin Gothic Book" w:cstheme="minorHAnsi"/>
      <w:color w:val="7F7F7F" w:themeColor="text1" w:themeTint="80"/>
      <w:sz w:val="44"/>
      <w:szCs w:val="24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0" w:line="240" w:lineRule="auto"/>
    </w:pPr>
    <w:rPr>
      <w:bCs/>
      <w:smallCaps/>
      <w:color w:val="B3C225" w:themeColor="accent2" w:themeShade="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Textoembloco">
    <w:name w:val="Block Text"/>
    <w:aliases w:val="Block Quote"/>
    <w:uiPriority w:val="40"/>
    <w:pPr>
      <w:pBdr>
        <w:top w:val="single" w:sz="2" w:space="10" w:color="23F2FF" w:themeColor="accent1" w:themeTint="99"/>
        <w:bottom w:val="single" w:sz="24" w:space="10" w:color="23F2FF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TtulodoLivro">
    <w:name w:val="Book Title"/>
    <w:basedOn w:val="Fontepargpadro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nfase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customStyle="1" w:styleId="Ttulo4Char">
    <w:name w:val="Título 4 Char"/>
    <w:basedOn w:val="Fontepargpadro"/>
    <w:uiPriority w:val="9"/>
    <w:rPr>
      <w:rFonts w:asciiTheme="majorHAnsi" w:hAnsiTheme="majorHAnsi" w:cs="Times New Roman"/>
      <w:b/>
      <w:color w:val="8CA423" w:themeColor="accent3" w:themeShade="BF"/>
      <w:spacing w:val="20"/>
      <w:sz w:val="24"/>
    </w:rPr>
  </w:style>
  <w:style w:type="character" w:customStyle="1" w:styleId="Ttulo5Char">
    <w:name w:val="Título 5 Char"/>
    <w:basedOn w:val="Fontepargpadro"/>
    <w:uiPriority w:val="9"/>
    <w:rPr>
      <w:rFonts w:asciiTheme="majorHAnsi" w:hAnsiTheme="majorHAnsi" w:cs="Times New Roman"/>
      <w:b/>
      <w:i/>
      <w:color w:val="8CA423" w:themeColor="accent3" w:themeShade="BF"/>
      <w:spacing w:val="20"/>
      <w:szCs w:val="26"/>
    </w:rPr>
  </w:style>
  <w:style w:type="character" w:customStyle="1" w:styleId="Ttulo6Char">
    <w:name w:val="Título 6 Char"/>
    <w:basedOn w:val="Fontepargpadro"/>
    <w:uiPriority w:val="9"/>
    <w:rPr>
      <w:rFonts w:asciiTheme="majorHAnsi" w:hAnsiTheme="majorHAnsi" w:cs="Times New Roman"/>
      <w:color w:val="5D6D17" w:themeColor="accent3" w:themeShade="7F"/>
      <w:spacing w:val="10"/>
      <w:sz w:val="24"/>
      <w:szCs w:val="20"/>
    </w:rPr>
  </w:style>
  <w:style w:type="character" w:customStyle="1" w:styleId="Ttulo7Char">
    <w:name w:val="Título 7 Char"/>
    <w:basedOn w:val="Fontepargpadro"/>
    <w:link w:val="Ttulo7"/>
    <w:uiPriority w:val="9"/>
    <w:rPr>
      <w:rFonts w:asciiTheme="majorHAnsi" w:hAnsiTheme="majorHAnsi" w:cs="Times New Roman"/>
      <w:i/>
      <w:color w:val="5D6D17" w:themeColor="accent3" w:themeShade="7F"/>
      <w:spacing w:val="10"/>
      <w:sz w:val="24"/>
      <w:szCs w:val="20"/>
    </w:rPr>
  </w:style>
  <w:style w:type="character" w:customStyle="1" w:styleId="Ttulo8Char">
    <w:name w:val="Título 8 Char"/>
    <w:basedOn w:val="Fontepargpadro"/>
    <w:link w:val="Ttulo8"/>
    <w:uiPriority w:val="9"/>
    <w:rPr>
      <w:rFonts w:asciiTheme="majorHAnsi" w:hAnsiTheme="majorHAnsi" w:cs="Times New Roman"/>
      <w:color w:val="008890" w:themeColor="accent1"/>
      <w:spacing w:val="1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Theme="majorHAnsi" w:hAnsiTheme="majorHAnsi" w:cs="Times New Roman"/>
      <w:i/>
      <w:color w:val="008890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/>
    <w:rPr>
      <w:rFonts w:asciiTheme="minorHAnsi" w:hAnsiTheme="minorHAnsi" w:cs="Times New Roman"/>
      <w:b/>
      <w:i/>
      <w:smallCaps/>
      <w:color w:val="D2DF57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/>
    <w:pPr>
      <w:pBdr>
        <w:top w:val="single" w:sz="36" w:space="10" w:color="23F2FF" w:themeColor="accent1" w:themeTint="99"/>
        <w:left w:val="single" w:sz="24" w:space="10" w:color="008890" w:themeColor="accent1"/>
        <w:bottom w:val="single" w:sz="36" w:space="10" w:color="B7D438" w:themeColor="accent3"/>
        <w:right w:val="single" w:sz="24" w:space="10" w:color="008890" w:themeColor="accent1"/>
      </w:pBdr>
      <w:shd w:val="clear" w:color="auto" w:fill="008890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hAnsiTheme="majorHAnsi" w:cs="Times New Roman"/>
      <w:i/>
      <w:color w:val="FFFFFF" w:themeColor="background1"/>
      <w:sz w:val="32"/>
      <w:szCs w:val="20"/>
      <w:shd w:val="clear" w:color="auto" w:fill="008890" w:themeFill="accent1"/>
    </w:rPr>
  </w:style>
  <w:style w:type="character" w:styleId="RefernciaIntensa">
    <w:name w:val="Intense Reference"/>
    <w:basedOn w:val="Fontepargpadro"/>
    <w:uiPriority w:val="32"/>
    <w:qFormat/>
    <w:rPr>
      <w:rFonts w:cs="Times New Roman"/>
      <w:b/>
      <w:color w:val="008890" w:themeColor="accent1"/>
      <w:sz w:val="22"/>
      <w:szCs w:val="20"/>
      <w:u w:val="single"/>
    </w:rPr>
  </w:style>
  <w:style w:type="paragraph" w:styleId="Commarcadores">
    <w:name w:val="List Bullet"/>
    <w:basedOn w:val="Normal"/>
    <w:uiPriority w:val="36"/>
    <w:unhideWhenUsed/>
    <w:qFormat/>
    <w:pPr>
      <w:numPr>
        <w:numId w:val="3"/>
      </w:numPr>
      <w:spacing w:after="0"/>
      <w:contextualSpacing/>
    </w:pPr>
  </w:style>
  <w:style w:type="paragraph" w:styleId="Commarcadores2">
    <w:name w:val="List Bullet 2"/>
    <w:basedOn w:val="Normal"/>
    <w:uiPriority w:val="36"/>
    <w:unhideWhenUsed/>
    <w:qFormat/>
    <w:pPr>
      <w:tabs>
        <w:tab w:val="num" w:pos="720"/>
      </w:tabs>
      <w:spacing w:after="0"/>
      <w:ind w:left="720" w:hanging="720"/>
    </w:pPr>
  </w:style>
  <w:style w:type="paragraph" w:styleId="Commarcadores3">
    <w:name w:val="List Bullet 3"/>
    <w:basedOn w:val="Normal"/>
    <w:uiPriority w:val="36"/>
    <w:unhideWhenUsed/>
    <w:qFormat/>
    <w:pPr>
      <w:tabs>
        <w:tab w:val="num" w:pos="720"/>
      </w:tabs>
      <w:spacing w:after="0"/>
      <w:ind w:left="720" w:hanging="720"/>
    </w:pPr>
  </w:style>
  <w:style w:type="paragraph" w:styleId="Commarcadores4">
    <w:name w:val="List Bullet 4"/>
    <w:basedOn w:val="Normal"/>
    <w:uiPriority w:val="36"/>
    <w:unhideWhenUsed/>
    <w:qFormat/>
    <w:pPr>
      <w:tabs>
        <w:tab w:val="num" w:pos="720"/>
      </w:tabs>
      <w:spacing w:after="0"/>
      <w:ind w:left="720" w:hanging="720"/>
    </w:pPr>
  </w:style>
  <w:style w:type="paragraph" w:styleId="Commarcadores5">
    <w:name w:val="List Bullet 5"/>
    <w:basedOn w:val="Normal"/>
    <w:uiPriority w:val="36"/>
    <w:unhideWhenUsed/>
    <w:qFormat/>
    <w:pPr>
      <w:tabs>
        <w:tab w:val="num" w:pos="720"/>
      </w:tabs>
      <w:spacing w:after="0"/>
      <w:ind w:left="720" w:hanging="720"/>
    </w:pPr>
  </w:style>
  <w:style w:type="paragraph" w:styleId="SemEspaamento">
    <w:name w:val="No Spacing"/>
    <w:basedOn w:val="Normal"/>
    <w:uiPriority w:val="1"/>
    <w:qFormat/>
    <w:rsid w:val="00C77D65"/>
    <w:pPr>
      <w:spacing w:after="0" w:line="240" w:lineRule="auto"/>
    </w:pPr>
    <w:rPr>
      <w:b/>
      <w:color w:val="004348" w:themeColor="accent1" w:themeShade="80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Citao">
    <w:name w:val="Quote"/>
    <w:basedOn w:val="Normal"/>
    <w:link w:val="CitaoChar"/>
    <w:uiPriority w:val="29"/>
    <w:qFormat/>
    <w:rPr>
      <w:i/>
      <w:color w:val="7F7F7F" w:themeColor="background1" w:themeShade="7F"/>
      <w:sz w:val="24"/>
    </w:rPr>
  </w:style>
  <w:style w:type="character" w:customStyle="1" w:styleId="CitaoChar">
    <w:name w:val="Citação Char"/>
    <w:basedOn w:val="Fontepargpadro"/>
    <w:link w:val="Citao"/>
    <w:uiPriority w:val="29"/>
    <w:rPr>
      <w:rFonts w:cs="Times New Roman"/>
      <w:i/>
      <w:color w:val="7F7F7F" w:themeColor="background1" w:themeShade="7F"/>
      <w:sz w:val="24"/>
      <w:szCs w:val="20"/>
    </w:rPr>
  </w:style>
  <w:style w:type="character" w:styleId="Forte">
    <w:name w:val="Strong"/>
    <w:uiPriority w:val="22"/>
    <w:qFormat/>
    <w:rPr>
      <w:rFonts w:asciiTheme="minorHAnsi" w:hAnsiTheme="minorHAnsi"/>
      <w:b/>
      <w:color w:val="D2DF57" w:themeColor="accent2"/>
    </w:rPr>
  </w:style>
  <w:style w:type="character" w:styleId="nfaseSutil">
    <w:name w:val="Subtle Emphasis"/>
    <w:basedOn w:val="Fontepargpadro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RefernciaSutil">
    <w:name w:val="Subtle Reference"/>
    <w:basedOn w:val="Fontepargpadro"/>
    <w:uiPriority w:val="31"/>
    <w:qFormat/>
    <w:rPr>
      <w:rFonts w:cs="Times New Roman"/>
      <w:color w:val="737373" w:themeColor="text1" w:themeTint="8C"/>
      <w:sz w:val="22"/>
      <w:szCs w:val="20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1">
    <w:name w:val="toc 1"/>
    <w:basedOn w:val="Normal"/>
    <w:next w:val="Normal"/>
    <w:autoRedefine/>
    <w:uiPriority w:val="99"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D2DF57" w:themeColor="accent2"/>
    </w:rPr>
  </w:style>
  <w:style w:type="paragraph" w:styleId="Sumrio2">
    <w:name w:val="toc 2"/>
    <w:basedOn w:val="Normal"/>
    <w:next w:val="Normal"/>
    <w:autoRedefine/>
    <w:uiPriority w:val="99"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Sumrio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Sumrio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Sumrio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Sumrio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Sumrio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Sumrio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Sumrio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Fontepargpadro"/>
    <w:uiPriority w:val="99"/>
    <w:unhideWhenUsed/>
    <w:rPr>
      <w:color w:val="CC9900" w:themeColor="hyperlink"/>
      <w:u w:val="single"/>
    </w:rPr>
  </w:style>
  <w:style w:type="table" w:styleId="TabelaSimples4">
    <w:name w:val="Plain Table 4"/>
    <w:basedOn w:val="Tabe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E05C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F141C"/>
    <w:pPr>
      <w:ind w:left="720"/>
      <w:contextualSpacing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480" w:line="240" w:lineRule="auto"/>
    </w:pPr>
    <w:rPr>
      <w:rFonts w:ascii="Libre Franklin" w:eastAsia="Libre Franklin" w:hAnsi="Libre Franklin" w:cs="Libre Franklin"/>
      <w:color w:val="7F7F7F"/>
      <w:sz w:val="44"/>
      <w:szCs w:val="44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01571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15718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1571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1571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157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tabnet.datasus.gov.br/tabdata/livroidb/2ed/indicadores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JQXtJyqO+JrcDDmhGgPa4mhmQ==">CgMxLjA4AHIhMWlNZ1o2RnZTb1plelhvYXFXV3E0NGs3R2VQR3ZKWHFn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680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Pesquisa</cp:lastModifiedBy>
  <cp:revision>2</cp:revision>
  <dcterms:created xsi:type="dcterms:W3CDTF">2026-05-08T14:02:00Z</dcterms:created>
  <dcterms:modified xsi:type="dcterms:W3CDTF">2026-05-08T14:02:00Z</dcterms:modified>
</cp:coreProperties>
</file>