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00000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841" w:tblpY="10467"/>
        <w:tblW w:w="11076.0" w:type="dxa"/>
        <w:jc w:val="left"/>
        <w:tblLayout w:type="fixed"/>
        <w:tblLook w:val="04A0"/>
      </w:tblPr>
      <w:tblGrid>
        <w:gridCol w:w="11076"/>
        <w:tblGridChange w:id="0">
          <w:tblGrid>
            <w:gridCol w:w="11076"/>
          </w:tblGrid>
        </w:tblGridChange>
      </w:tblGrid>
      <w:tr>
        <w:trPr>
          <w:cantSplit w:val="0"/>
          <w:trHeight w:val="59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2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6934200" cy="842225"/>
                      <wp:effectExtent b="0" l="0" r="0" t="0"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1897950" y="3377938"/>
                                <a:ext cx="6896100" cy="804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80"/>
                                      <w:vertAlign w:val="baseline"/>
                                    </w:rPr>
                                    <w:t xml:space="preserve">Ficha de qualificação e requisitos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6934200" cy="842225"/>
                      <wp:effectExtent b="0" l="0" r="0" t="0"/>
                      <wp:docPr id="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934200" cy="842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5607050" cy="477487"/>
                      <wp:effectExtent b="0" l="0" r="0" t="0"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2561525" y="3560307"/>
                                <a:ext cx="5568950" cy="4393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48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44"/>
                                      <w:vertAlign w:val="baseline"/>
                                    </w:rPr>
                                    <w:t xml:space="preserve">Indicadores de Qualidade de Dados da RNDS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5607050" cy="477487"/>
                      <wp:effectExtent b="0" l="0" r="0" t="0"/>
                      <wp:docPr id="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07050" cy="47748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6394450" cy="477487"/>
                      <wp:effectExtent b="0" l="0" r="0" t="0"/>
                      <wp:docPr id="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6" name="Shape 6"/>
                            <wps:spPr>
                              <a:xfrm>
                                <a:off x="2167825" y="3560307"/>
                                <a:ext cx="6356350" cy="4393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48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44"/>
                                      <w:vertAlign w:val="baseline"/>
                                    </w:rPr>
                                    <w:t xml:space="preserve">2025 | Por: Meta 2 – Índice de qualidade de dados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6394450" cy="477487"/>
                      <wp:effectExtent b="0" l="0" r="0" t="0"/>
                      <wp:docPr id="5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394450" cy="47748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-1114420</wp:posOffset>
                </wp:positionH>
                <wp:positionV relativeFrom="paragraph">
                  <wp:posOffset>4397375</wp:posOffset>
                </wp:positionV>
                <wp:extent cx="7814310" cy="5372100"/>
                <wp:effectExtent b="0" l="0" r="0" t="0"/>
                <wp:wrapNone/>
                <wp:docPr descr="retângulo"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1457895" y="1113000"/>
                          <a:ext cx="7776210" cy="5334000"/>
                        </a:xfrm>
                        <a:prstGeom prst="rect">
                          <a:avLst/>
                        </a:prstGeom>
                        <a:solidFill>
                          <a:srgbClr val="3F3F3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-1114420</wp:posOffset>
                </wp:positionH>
                <wp:positionV relativeFrom="paragraph">
                  <wp:posOffset>4397375</wp:posOffset>
                </wp:positionV>
                <wp:extent cx="7814310" cy="5372100"/>
                <wp:effectExtent b="0" l="0" r="0" t="0"/>
                <wp:wrapNone/>
                <wp:docPr descr="retângulo" id="6" name="image7.png"/>
                <a:graphic>
                  <a:graphicData uri="http://schemas.openxmlformats.org/drawingml/2006/picture">
                    <pic:pic>
                      <pic:nvPicPr>
                        <pic:cNvPr descr="retângulo"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4310" cy="537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-911220</wp:posOffset>
                </wp:positionH>
                <wp:positionV relativeFrom="paragraph">
                  <wp:posOffset>-962020</wp:posOffset>
                </wp:positionV>
                <wp:extent cx="7814310" cy="1212850"/>
                <wp:effectExtent b="0" l="0" r="0" t="0"/>
                <wp:wrapNone/>
                <wp:docPr descr="retângulo"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1457895" y="3192625"/>
                          <a:ext cx="7776210" cy="1174750"/>
                        </a:xfrm>
                        <a:prstGeom prst="rect">
                          <a:avLst/>
                        </a:prstGeom>
                        <a:solidFill>
                          <a:srgbClr val="2F559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-911220</wp:posOffset>
                </wp:positionH>
                <wp:positionV relativeFrom="paragraph">
                  <wp:posOffset>-962020</wp:posOffset>
                </wp:positionV>
                <wp:extent cx="7814310" cy="1212850"/>
                <wp:effectExtent b="0" l="0" r="0" t="0"/>
                <wp:wrapNone/>
                <wp:docPr descr="retângulo" id="7" name="image8.png"/>
                <a:graphic>
                  <a:graphicData uri="http://schemas.openxmlformats.org/drawingml/2006/picture">
                    <pic:pic>
                      <pic:nvPicPr>
                        <pic:cNvPr descr="retângulo"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4310" cy="1212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-914395</wp:posOffset>
            </wp:positionH>
            <wp:positionV relativeFrom="paragraph">
              <wp:posOffset>196850</wp:posOffset>
            </wp:positionV>
            <wp:extent cx="7549205" cy="4235450"/>
            <wp:effectExtent b="0" l="0" r="0" t="0"/>
            <wp:wrapSquare wrapText="bothSides" distB="0" distT="0" distL="114300" distR="114300"/>
            <wp:docPr descr="Interface gráfica do usuário, Site&#10;&#10;O conteúdo gerado por IA pode estar incorreto." id="8" name="image1.png"/>
            <a:graphic>
              <a:graphicData uri="http://schemas.openxmlformats.org/drawingml/2006/picture">
                <pic:pic>
                  <pic:nvPicPr>
                    <pic:cNvPr descr="Interface gráfica do usuário, Site&#10;&#10;O conteúdo gerado por IA pode estar incorreto.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9205" cy="4235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1" w:sz="4" w:val="single"/>
          <w:bottom w:color="000000" w:space="1" w:sz="4" w:val="single"/>
        </w:pBdr>
        <w:spacing w:after="20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FICHA DE QUALIFICAÇÃO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i011dqcptv</w:t>
      </w:r>
      <w:r w:rsidDel="00000000" w:rsidR="00000000" w:rsidRPr="00000000">
        <w:rPr>
          <w:b w:val="1"/>
          <w:bCs w:val="1"/>
          <w:rtl w:val="0"/>
        </w:rPr>
        <w:t xml:space="preserve"> – Proporção de registros com campo obrigatório preenchidos na RNDS</w:t>
      </w:r>
    </w:p>
    <w:p w:rsidR="00000000" w:rsidDel="00000000" w:rsidP="00000000" w:rsidRDefault="00000000" w:rsidRPr="00000000" w14:paraId="0000000A">
      <w:pPr>
        <w:jc w:val="left"/>
        <w:rPr>
          <w:b w:val="1"/>
          <w:bCs w:val="1"/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Conceituação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Mede a completude </w:t>
      </w:r>
      <w:r w:rsidDel="00000000" w:rsidR="00000000" w:rsidRPr="00000000">
        <w:rPr>
          <w:color w:val="274e13"/>
          <w:rtl w:val="0"/>
        </w:rPr>
        <w:t xml:space="preserve">obrigatória </w:t>
      </w:r>
      <w:r w:rsidDel="00000000" w:rsidR="00000000" w:rsidRPr="00000000">
        <w:rPr>
          <w:rtl w:val="0"/>
        </w:rPr>
        <w:t xml:space="preserve">dos dados integrados à RNDS em relação ao padrão internacional de interoperabilidade HL7 FHIR. Expressa o percentual de variáveis estruturadas do padrão que foram efetivamente povoadas com informações válidas (não nulas e não ignoradas).</w:t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Interpretação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Este indicador reflete a conformidade técnica e a riqueza da informação disponível para intercâmbio. Quanto maior a proporção, maior é a capacidade de os sistemas receptores interpretarem e utilizarem o dado clínico. Proporções baixas indicam uma "interoperabilidade vazia", onde a conexão existe, mas o conteúdo é insuficiente para o apoio à decisão.</w:t>
      </w:r>
    </w:p>
    <w:p w:rsidR="00000000" w:rsidDel="00000000" w:rsidP="00000000" w:rsidRDefault="00000000" w:rsidRPr="00000000" w14:paraId="0000001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Usos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Avaliar a conformidade técnica dos sistemas de origem com os perfis (profiles) FHIR da RNDS;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Monitorar a perda de informação durante o processo de mapeamento e envio de dados;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Subsidiar revisões nos Guias de Implementação da RNDS.</w:t>
      </w:r>
    </w:p>
    <w:p w:rsidR="00000000" w:rsidDel="00000000" w:rsidP="00000000" w:rsidRDefault="00000000" w:rsidRPr="00000000" w14:paraId="0000001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Limitações</w:t>
      </w:r>
    </w:p>
    <w:p w:rsidR="00000000" w:rsidDel="00000000" w:rsidP="00000000" w:rsidRDefault="00000000" w:rsidRPr="00000000" w14:paraId="0000001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Não avalia a acurácia clínica do dado (veracidade), apenas a sua presença estruturada. Depende da definição prévia das variáveis que compõem o conjunto mínimo de cada perfil FHIR.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Fonte</w:t>
      </w:r>
    </w:p>
    <w:p w:rsidR="00000000" w:rsidDel="00000000" w:rsidP="00000000" w:rsidRDefault="00000000" w:rsidRPr="00000000" w14:paraId="0000001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Todos os Modelos Informacionais da RNDS (Transversal).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6. Método de Cálcul</w:t>
      </w: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01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(Média do Nº de registros com variáveis </w:t>
      </w:r>
      <w:r w:rsidDel="00000000" w:rsidR="00000000" w:rsidRPr="00000000">
        <w:rPr>
          <w:b w:val="1"/>
          <w:bCs w:val="1"/>
          <w:rtl w:val="0"/>
        </w:rPr>
        <w:t xml:space="preserve">obrigatórias</w:t>
      </w:r>
      <w:r w:rsidDel="00000000" w:rsidR="00000000" w:rsidRPr="00000000">
        <w:rPr>
          <w:rtl w:val="0"/>
        </w:rPr>
        <w:t xml:space="preserve"> não nulas / Total de registros integrados) *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Categorias sugeridas para análise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Unidade geográfica (Região, UF, Município).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Modelo Informacional (RAC, RIA, CMD, REL, RPM).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Sistema de Informação de Origem (SIS).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Período (Mensal, Trimestral).</w:t>
      </w:r>
    </w:p>
    <w:p w:rsidR="00000000" w:rsidDel="00000000" w:rsidP="00000000" w:rsidRDefault="00000000" w:rsidRPr="00000000" w14:paraId="0000002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Referência</w:t>
      </w:r>
    </w:p>
    <w:p w:rsidR="00000000" w:rsidDel="00000000" w:rsidP="00000000" w:rsidRDefault="00000000" w:rsidRPr="00000000" w14:paraId="00000025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Modelo da Ficha de Qualificação de Indicadores (FQI). RIPSA – Rede Interagencial de Informações para a Saúde. Disponível em: https://www.ripsa.org.br/indicadores/fqi/. </w:t>
        <w:br w:type="textWrapping"/>
        <w:t xml:space="preserve">Modelo aplicado: </w:t>
      </w:r>
      <w:hyperlink r:id="rId9">
        <w:r w:rsidDel="00000000" w:rsidR="00000000" w:rsidRPr="00000000">
          <w:rPr>
            <w:rtl w:val="0"/>
          </w:rPr>
          <w:t xml:space="preserve">http://tabnet.datasus.gov.br/tabdata/livroidb/2ed/indicadores.pdf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6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Acesso em: 10 abr. 2025.</w:t>
      </w:r>
    </w:p>
    <w:p w:rsidR="00000000" w:rsidDel="00000000" w:rsidP="00000000" w:rsidRDefault="00000000" w:rsidRPr="00000000" w14:paraId="00000027">
      <w:pPr>
        <w:spacing w:after="2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FICHA DE REQUISITOS</w:t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Layout w:type="fixed"/>
        <w:tblLook w:val="0400"/>
      </w:tblPr>
      <w:tblGrid>
        <w:gridCol w:w="2295"/>
        <w:gridCol w:w="6705"/>
        <w:tblGridChange w:id="0">
          <w:tblGrid>
            <w:gridCol w:w="2295"/>
            <w:gridCol w:w="67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 do Indicador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Proporção de registros de variáveis do padrão HL7 FHIR com registros não (nulos ou ignorados) na RNDS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Descrição Técnica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Percentual de preenchimento das variáveis contidas nos perfis (profiles) FHIR homologados pela RNDS.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Fórmula de Cálculo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SQL: (COUNT(campos_fhir_nao_nulos) / (COUNT(*) * total_variaveis_modelo)) * 100</w:t>
            </w:r>
          </w:p>
          <w:p w:rsidR="00000000" w:rsidDel="00000000" w:rsidP="00000000" w:rsidRDefault="00000000" w:rsidRPr="00000000" w14:paraId="000000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R: i014 &lt;- mean(!is.na(df_fhir_vars)) * 100</w:t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DAX: i014 = DIVIDE(COUNTROWS(FILTER(Tabela, NOT(ISBLANK([campo_fhir])))), COUNTROWS(Tabela)) * 100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Campos Necessários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Lista de variáveis presentes no padrão HL7 FHIR (conforme o modelo informacional específico).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Tabelas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Tabelas de produção da RNDS no Datalake (formato enriquecido).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Sistema de Origem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Todos os sistemas integrados à RNDS (Transversal).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Período de Atualização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Regras de Negócio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Considerar apenas registros com status = 'final'. Excluir do numerador valores equivalentes a "Ignorado", "Sem informação" ou strings vazias, conforme o ValueSet de cada campo.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Tipo de Dado Esperado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Percentual (0 a 100).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Desagregações Possíveis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UF, Município, Modelo Informacional, Perfil FHIR, Estabelecimento.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Validações Esperadas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Verificação de nulidade em campos obrigatórios e essenciais do padrão FHIR.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Data de Implantação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Abril de 2025.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Responsável Técnico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Equipe ISC/UFBA na Meta 2 – Estatísticos e cientistas de dados.</w:t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Equipe do Ministério da Saúde – Sanitaristas e engenheiros de dados.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Fonte Complementar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Dicionário de dados da RNDS; Simplifier.net (Profiles RNDS).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Referência do Indicador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 sugerido: i014dqcptv</w:t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(i = indicador; 014 = ordem; dq = dimensão qualidade; cp = completude; tv = transversal).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Versão da Ficha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Versão 1.0 em 11.02.2026.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Referência Técnica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SOMMERVILLE, Ian. Engenharia de Software. 9ª ed. Organização conforme norma IEEE para documentos de requisitos (IEEE, 1998), adaptada para gestão de BI em saúde.</w:t>
            </w:r>
          </w:p>
        </w:tc>
      </w:tr>
    </w:tbl>
    <w:p w:rsidR="00000000" w:rsidDel="00000000" w:rsidP="00000000" w:rsidRDefault="00000000" w:rsidRPr="00000000" w14:paraId="00000054">
      <w:pPr>
        <w:spacing w:after="20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10" w:type="default"/>
      <w:footerReference r:id="rId11" w:type="even"/>
      <w:pgSz w:h="16838" w:w="11906" w:orient="portrait"/>
      <w:pgMar w:bottom="993" w:top="1134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Libre Frankl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Arial Black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6861176</wp:posOffset>
              </wp:positionH>
              <wp:positionV relativeFrom="paragraph">
                <wp:posOffset>180976</wp:posOffset>
              </wp:positionV>
              <wp:extent cx="558800" cy="5588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085650" y="3519650"/>
                        <a:ext cx="520700" cy="520700"/>
                      </a:xfrm>
                      <a:prstGeom prst="roundRect">
                        <a:avLst>
                          <a:gd fmla="val 16667" name="adj"/>
                        </a:avLst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4448"/>
                              <w:sz w:val="36"/>
                              <w:vertAlign w:val="baseline"/>
                            </w:rPr>
                            <w:t xml:space="preserve"> PAGE  \* Arabic  \* MERGEFORMAT 1</w:t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6861176</wp:posOffset>
              </wp:positionH>
              <wp:positionV relativeFrom="paragraph">
                <wp:posOffset>180976</wp:posOffset>
              </wp:positionV>
              <wp:extent cx="558800" cy="5588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800" cy="558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5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  <w:sz w:val="2"/>
        <w:szCs w:val="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6899276</wp:posOffset>
              </wp:positionH>
              <wp:positionV relativeFrom="paragraph">
                <wp:posOffset>193676</wp:posOffset>
              </wp:positionV>
              <wp:extent cx="558800" cy="55880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5085650" y="3519650"/>
                        <a:ext cx="520700" cy="520700"/>
                      </a:xfrm>
                      <a:prstGeom prst="roundRect">
                        <a:avLst>
                          <a:gd fmla="val 16667" name="adj"/>
                        </a:avLst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4448"/>
                              <w:sz w:val="36"/>
                              <w:vertAlign w:val="baseline"/>
                            </w:rPr>
                            <w:t xml:space="preserve"> PAGE  \* Arabic  \* MERGEFORMAT 1</w:t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6899276</wp:posOffset>
              </wp:positionH>
              <wp:positionV relativeFrom="paragraph">
                <wp:posOffset>193676</wp:posOffset>
              </wp:positionV>
              <wp:extent cx="558800" cy="558800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800" cy="558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PT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40" w:before="300" w:line="240" w:lineRule="auto"/>
    </w:pPr>
    <w:rPr>
      <w:rFonts w:ascii="Libre Franklin" w:cs="Libre Franklin" w:eastAsia="Libre Franklin" w:hAnsi="Libre Franklin"/>
      <w:color w:val="00656b"/>
      <w:sz w:val="56"/>
      <w:szCs w:val="56"/>
    </w:rPr>
  </w:style>
  <w:style w:type="paragraph" w:styleId="Heading2">
    <w:name w:val="heading 2"/>
    <w:basedOn w:val="Normal"/>
    <w:next w:val="Normal"/>
    <w:pPr>
      <w:spacing w:after="40" w:before="240" w:line="240" w:lineRule="auto"/>
    </w:pPr>
    <w:rPr>
      <w:rFonts w:ascii="Libre Franklin" w:cs="Libre Franklin" w:eastAsia="Libre Franklin" w:hAnsi="Libre Franklin"/>
      <w:color w:val="595959"/>
      <w:sz w:val="44"/>
      <w:szCs w:val="44"/>
    </w:rPr>
  </w:style>
  <w:style w:type="paragraph" w:styleId="Heading3">
    <w:name w:val="heading 3"/>
    <w:basedOn w:val="Normal"/>
    <w:next w:val="Normal"/>
    <w:pPr>
      <w:spacing w:after="40" w:before="200" w:line="240" w:lineRule="auto"/>
    </w:pPr>
    <w:rPr>
      <w:rFonts w:ascii="Libre Franklin" w:cs="Libre Franklin" w:eastAsia="Libre Franklin" w:hAnsi="Libre Franklin"/>
      <w:color w:val="595959"/>
      <w:sz w:val="36"/>
      <w:szCs w:val="36"/>
    </w:rPr>
  </w:style>
  <w:style w:type="paragraph" w:styleId="Heading4">
    <w:name w:val="heading 4"/>
    <w:basedOn w:val="Normal"/>
    <w:next w:val="Normal"/>
    <w:pPr>
      <w:spacing w:after="0" w:before="240" w:lineRule="auto"/>
    </w:pPr>
    <w:rPr>
      <w:rFonts w:ascii="Arial Black" w:cs="Arial Black" w:eastAsia="Arial Black" w:hAnsi="Arial Black"/>
      <w:b w:val="1"/>
      <w:bCs w:val="1"/>
      <w:color w:val="8da523"/>
      <w:sz w:val="24"/>
      <w:szCs w:val="24"/>
    </w:rPr>
  </w:style>
  <w:style w:type="paragraph" w:styleId="Heading5">
    <w:name w:val="heading 5"/>
    <w:basedOn w:val="Normal"/>
    <w:next w:val="Normal"/>
    <w:pPr>
      <w:spacing w:after="0" w:before="200" w:lineRule="auto"/>
    </w:pPr>
    <w:rPr>
      <w:rFonts w:ascii="Arial Black" w:cs="Arial Black" w:eastAsia="Arial Black" w:hAnsi="Arial Black"/>
      <w:b w:val="1"/>
      <w:bCs w:val="1"/>
      <w:i w:val="1"/>
      <w:iCs w:val="1"/>
      <w:color w:val="8da523"/>
    </w:rPr>
  </w:style>
  <w:style w:type="paragraph" w:styleId="Heading6">
    <w:name w:val="heading 6"/>
    <w:basedOn w:val="Normal"/>
    <w:next w:val="Normal"/>
    <w:pPr>
      <w:spacing w:after="0" w:before="200" w:lineRule="auto"/>
    </w:pPr>
    <w:rPr>
      <w:rFonts w:ascii="Arial Black" w:cs="Arial Black" w:eastAsia="Arial Black" w:hAnsi="Arial Black"/>
      <w:color w:val="5d6d17"/>
      <w:sz w:val="24"/>
      <w:szCs w:val="24"/>
    </w:rPr>
  </w:style>
  <w:style w:type="paragraph" w:styleId="Title">
    <w:name w:val="Title"/>
    <w:basedOn w:val="Normal"/>
    <w:next w:val="Normal"/>
    <w:pPr>
      <w:spacing w:line="240" w:lineRule="auto"/>
    </w:pPr>
    <w:rPr>
      <w:rFonts w:ascii="Libre Franklin" w:cs="Libre Franklin" w:eastAsia="Libre Franklin" w:hAnsi="Libre Franklin"/>
      <w:b w:val="1"/>
      <w:bCs w:val="1"/>
      <w:color w:val="008890"/>
      <w:sz w:val="80"/>
      <w:szCs w:val="80"/>
    </w:rPr>
  </w:style>
  <w:style w:type="paragraph" w:styleId="Subtitle">
    <w:name w:val="Subtitle"/>
    <w:basedOn w:val="Normal"/>
    <w:next w:val="Normal"/>
    <w:pPr>
      <w:spacing w:after="480" w:line="240" w:lineRule="auto"/>
    </w:pPr>
    <w:rPr>
      <w:rFonts w:ascii="Libre Franklin" w:cs="Libre Franklin" w:eastAsia="Libre Franklin" w:hAnsi="Libre Franklin"/>
      <w:color w:val="7f7f7f"/>
      <w:sz w:val="44"/>
      <w:szCs w:val="4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yperlink" Target="http://tabnet.datasus.gov.br/tabdata/livroidb/2ed/indicadores.pdf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-regular.ttf"/><Relationship Id="rId2" Type="http://schemas.openxmlformats.org/officeDocument/2006/relationships/font" Target="fonts/LibreFranklin-bold.ttf"/><Relationship Id="rId3" Type="http://schemas.openxmlformats.org/officeDocument/2006/relationships/font" Target="fonts/LibreFranklin-italic.ttf"/><Relationship Id="rId4" Type="http://schemas.openxmlformats.org/officeDocument/2006/relationships/font" Target="fonts/LibreFranklin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ArialBlack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k7eN+5rhZrfN+uEoZN/pPg2kPw==">CgMxLjA4AHIhMUN1TDJ2UU1kX3lGRFRVejE4c3dWX3FtZ2V1SWVlUEZf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