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841" w:tblpY="10467"/>
        <w:tblW w:w="11076.0" w:type="dxa"/>
        <w:jc w:val="left"/>
        <w:tblLayout w:type="fixed"/>
        <w:tblLook w:val="04A0"/>
      </w:tblPr>
      <w:tblGrid>
        <w:gridCol w:w="11076"/>
        <w:tblGridChange w:id="0">
          <w:tblGrid>
            <w:gridCol w:w="11076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934200" cy="842225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1897950" y="3377938"/>
                                <a:ext cx="6896100" cy="804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80"/>
                                      <w:vertAlign w:val="baseline"/>
                                    </w:rPr>
                                    <w:t xml:space="preserve">Ficha de qualificação e requisitos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934200" cy="842225"/>
                      <wp:effectExtent b="0" l="0" r="0" t="0"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34200" cy="84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5607050" cy="477487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2561525" y="3560307"/>
                                <a:ext cx="55689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Indicadores de Qualidade de Dados da RNDS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07050" cy="477487"/>
                      <wp:effectExtent b="0" l="0" r="0" t="0"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7050" cy="47748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394450" cy="477487"/>
                      <wp:effectExtent b="0" l="0" r="0" t="0"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2167825" y="3560307"/>
                                <a:ext cx="63563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2025 | Por: Meta 2 – Índice de qualidade de dados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394450" cy="477487"/>
                      <wp:effectExtent b="0" l="0" r="0" t="0"/>
                      <wp:docPr id="5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94450" cy="47748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-1114420</wp:posOffset>
                </wp:positionH>
                <wp:positionV relativeFrom="paragraph">
                  <wp:posOffset>4397375</wp:posOffset>
                </wp:positionV>
                <wp:extent cx="7814310" cy="5372100"/>
                <wp:effectExtent b="0" l="0" r="0" t="0"/>
                <wp:wrapNone/>
                <wp:docPr descr="retângulo"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457895" y="1113000"/>
                          <a:ext cx="7776210" cy="5334000"/>
                        </a:xfrm>
                        <a:prstGeom prst="rect">
                          <a:avLst/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-1114420</wp:posOffset>
                </wp:positionH>
                <wp:positionV relativeFrom="paragraph">
                  <wp:posOffset>4397375</wp:posOffset>
                </wp:positionV>
                <wp:extent cx="7814310" cy="5372100"/>
                <wp:effectExtent b="0" l="0" r="0" t="0"/>
                <wp:wrapNone/>
                <wp:docPr descr="retângulo" id="6" name="image7.png"/>
                <a:graphic>
                  <a:graphicData uri="http://schemas.openxmlformats.org/drawingml/2006/picture">
                    <pic:pic>
                      <pic:nvPicPr>
                        <pic:cNvPr descr="retângulo"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4310" cy="537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-911220</wp:posOffset>
                </wp:positionH>
                <wp:positionV relativeFrom="paragraph">
                  <wp:posOffset>-962020</wp:posOffset>
                </wp:positionV>
                <wp:extent cx="7814310" cy="1212850"/>
                <wp:effectExtent b="0" l="0" r="0" t="0"/>
                <wp:wrapNone/>
                <wp:docPr descr="retângulo"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457895" y="3192625"/>
                          <a:ext cx="7776210" cy="1174750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-911220</wp:posOffset>
                </wp:positionH>
                <wp:positionV relativeFrom="paragraph">
                  <wp:posOffset>-962020</wp:posOffset>
                </wp:positionV>
                <wp:extent cx="7814310" cy="1212850"/>
                <wp:effectExtent b="0" l="0" r="0" t="0"/>
                <wp:wrapNone/>
                <wp:docPr descr="retângulo" id="7" name="image8.png"/>
                <a:graphic>
                  <a:graphicData uri="http://schemas.openxmlformats.org/drawingml/2006/picture">
                    <pic:pic>
                      <pic:nvPicPr>
                        <pic:cNvPr descr="retângulo"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4310" cy="1212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-914395</wp:posOffset>
            </wp:positionH>
            <wp:positionV relativeFrom="paragraph">
              <wp:posOffset>196850</wp:posOffset>
            </wp:positionV>
            <wp:extent cx="7549205" cy="4235450"/>
            <wp:effectExtent b="0" l="0" r="0" t="0"/>
            <wp:wrapSquare wrapText="bothSides" distB="0" distT="0" distL="114300" distR="114300"/>
            <wp:docPr descr="Interface gráfica do usuário, Site&#10;&#10;O conteúdo gerado por IA pode estar incorreto." id="8" name="image1.png"/>
            <a:graphic>
              <a:graphicData uri="http://schemas.openxmlformats.org/drawingml/2006/picture">
                <pic:pic>
                  <pic:nvPicPr>
                    <pic:cNvPr descr="Interface gráfica do usuário, Site&#10;&#10;O conteúdo gerado por IA pode estar incorreto.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9205" cy="423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bottom w:color="000000" w:space="1" w:sz="4" w:val="single"/>
        </w:pBdr>
        <w:spacing w:after="2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FICHA DE QUALIFICAÇÃO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sdt>
        <w:sdtPr>
          <w:id w:val="131407191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rtl w:val="0"/>
        </w:rPr>
        <w:t xml:space="preserve">i012dqcfmitv – Proporção de concordância entre variáveis do indivíduo nos diferentes modelos informacionais da RNDS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Conceituação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Mede a consistência dos dados de identificação e características demográficas de um mesmo indivíduo (paciente) quando registados em</w:t>
      </w:r>
      <w:sdt>
        <w:sdtPr>
          <w:id w:val="151565431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 modelos informacionais distintos (ex.: RAC, RIA, CMD, REL, RPM)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. Expressa a proporção de registros cujas variáveis selecionadas são idênticas entre as fontes comparadas.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Interpretação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Este indicador reflete a confiabilidade e a unicidade dos dados cadastrais no ecossistema da RNDS. Proporções elevadas indicam que o "perfil do cidadão" está saneado e integrado. Proporções baixas sugerem fragilidade na atualização cadastral, erros de digitação nos sistemas de origem ou falhas na interoperabilidade semântica entre os modelos.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Usos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Validar a acurácia dos dados demográficos transversais;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necessidades de higienização (cleansing) na </w:t>
      </w:r>
      <w:r w:rsidDel="00000000" w:rsidR="00000000" w:rsidRPr="00000000">
        <w:rPr>
          <w:shd w:fill="e06666" w:val="clear"/>
          <w:rtl w:val="0"/>
        </w:rPr>
        <w:t xml:space="preserve">base de dados do CADSUS/RNDS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Apoiar a unificação do histórico clínico garantindo que o dado pertence ao mesmo perfil biológico/social.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Limitações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Depende da existência de registros do mesmo indivíduo em pelo menos dois modelos diferentes no período analisado. Não identifica qual das fontes possui o dado "verdadeiro", apenas a divergência entre elas. Os homônimos, máscara de dados e temporalidade são casos de limitações.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Fonte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Todos os Modelos Informacionais da RNDS (Transversal).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Método de Cálculo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(Número de registos com variáveis compatíveis entre fontes / Total de registos de indivíduos comparados em múltiplas fontes) * 100</w:t>
      </w:r>
    </w:p>
    <w:p w:rsidR="00000000" w:rsidDel="00000000" w:rsidP="00000000" w:rsidRDefault="00000000" w:rsidRPr="00000000" w14:paraId="0000001A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Categorias sugeridas para análise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Unidade geográfica (Região, UF, Município, Estabelecimento).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Variáveis de comparação (Sexo, Raça/Cor, Nacionalidade)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Período (Mensal, Trimestral, Anual).</w:t>
      </w:r>
    </w:p>
    <w:p w:rsidR="00000000" w:rsidDel="00000000" w:rsidP="00000000" w:rsidRDefault="00000000" w:rsidRPr="00000000" w14:paraId="0000001E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Referência</w:t>
      </w:r>
    </w:p>
    <w:p w:rsidR="00000000" w:rsidDel="00000000" w:rsidP="00000000" w:rsidRDefault="00000000" w:rsidRPr="00000000" w14:paraId="00000020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Modelo da Ficha de Qualificação de Indicadores (FQI). RIPSA – Rede Interagencial de Informações para a Saúde. Disponível em: https://www.ripsa.org.br/indicadores/fqi/. </w:t>
        <w:br w:type="textWrapping"/>
        <w:t xml:space="preserve">Modelo aplicado: </w:t>
      </w:r>
      <w:hyperlink r:id="rId11">
        <w:r w:rsidDel="00000000" w:rsidR="00000000" w:rsidRPr="00000000">
          <w:rPr>
            <w:rtl w:val="0"/>
          </w:rPr>
          <w:t xml:space="preserve">http://tabnet.datasus.gov.br/tabdata/livroidb/2ed/indicadores.pdf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1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Acesso em: 10 abr. 2025.</w:t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REQUISITOS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Layout w:type="fixed"/>
        <w:tblLook w:val="0400"/>
      </w:tblPr>
      <w:tblGrid>
        <w:gridCol w:w="2460"/>
        <w:gridCol w:w="6885"/>
        <w:tblGridChange w:id="0">
          <w:tblGrid>
            <w:gridCol w:w="2460"/>
            <w:gridCol w:w="68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534.9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 do Indicador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Proporção de concordância entre variáveis do indivíduo nos diferentes modelos informacionais da RNDS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Descrição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Percentual de indivíduos que possuem valores idênticos para atributos demográficos fixos quando comparados entre dois ou mais modelos informacionais (cross-model validation).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Fórmula de Cálculo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SQL: SELECT (COUNT(DISTINCT case_id) FILTER (WHERE var_source1 = var_source2) / COUNT(DISTINCT case_id)) * 100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R: i015 &lt;- sum(df$var_rac == df$var_ria, na.rm=T) / nrow(df) * 100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DAX: i015 = DIVIDE(CALCULATE(COUNTROWS(Tabela), Tabela[Var_Fonte1] = Tabela[Var_Fonte2]), COUNTROWS(Tabela)) * 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Campos Necessários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co_paciente, tp_sexo_paciente, co_raca_cor_paciente, co_nacionalidade_paciente, st_documento_rnds.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Tabelas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Tabela enriquecida da RNDS (Visão unificada de múltiplos modelos).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Sistema de Origem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da RNDS (Transversal).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Período de Atualização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Regras de Negócio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Considerar apenas registos com status = 'final'. A comparação deve ser feita par a par (ex.: RAC vs RIA) ou contra uma base de referência (CADSUS).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Tipo de Dado Esperado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Percentual (0 a 100).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Desagregações Possíveis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UF, Município, Estabelecimento de Saúde, Variável Demográfica específica.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Validações Esperadas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Identificar divergências em campos que não deveriam sofrer alteração frequente (ex.: Sexo, Raça/Cor).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de Implantação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Abril de 2025.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Responsável 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Equipe ISC/UFBA na Meta 2 – Estatísticos e cientistas de dados.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Equipe do Ministério da Saúde – Sanitaristas e engenheiros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Fonte Complementar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Dicionário de dados da RNDS; Manuais de integração.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do indicador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sugerido: i015dqcfmitv</w:t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(i = indicador; 015 = ordem; dq = dimensão qualidade; cf = confiabilidade; tv = transversal).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Versão da ficha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Versão 1.0 em 11.02.2026.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SOMMERVILLE, Ian. Engenharia de Software. 9ª ed. Pearson Prentice Hall, 2011. Organização conforme norma IEEE para documentos de requisitos (IEEE, 1998).</w:t>
            </w:r>
          </w:p>
        </w:tc>
      </w:tr>
    </w:tbl>
    <w:p w:rsidR="00000000" w:rsidDel="00000000" w:rsidP="00000000" w:rsidRDefault="00000000" w:rsidRPr="00000000" w14:paraId="0000005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2" w:type="default"/>
      <w:footerReference r:id="rId13" w:type="even"/>
      <w:pgSz w:h="16838" w:w="11906" w:orient="portrait"/>
      <w:pgMar w:bottom="993" w:top="1134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eta2 Susdigital" w:id="1" w:date="2026-06-16T20:58:48Z"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Modelagem Diferentes</w:t>
      </w:r>
    </w:p>
  </w:comment>
  <w:comment w:author="Meta2 Susdigital" w:id="0" w:date="2026-06-16T20:53:21Z"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 a aplicabilidade desse indicador com base diferença do dado ao longo do tempo.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6" w15:done="0"/>
  <w15:commentEx w15:paraId="0000005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6861176</wp:posOffset>
              </wp:positionH>
              <wp:positionV relativeFrom="paragraph">
                <wp:posOffset>180976</wp:posOffset>
              </wp:positionV>
              <wp:extent cx="558800" cy="5588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6861176</wp:posOffset>
              </wp:positionH>
              <wp:positionV relativeFrom="paragraph">
                <wp:posOffset>180976</wp:posOffset>
              </wp:positionV>
              <wp:extent cx="558800" cy="5588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558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  <w:sz w:val="2"/>
        <w:szCs w:val="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6899276</wp:posOffset>
              </wp:positionH>
              <wp:positionV relativeFrom="paragraph">
                <wp:posOffset>193676</wp:posOffset>
              </wp:positionV>
              <wp:extent cx="558800" cy="5588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6899276</wp:posOffset>
              </wp:positionH>
              <wp:positionV relativeFrom="paragraph">
                <wp:posOffset>193676</wp:posOffset>
              </wp:positionV>
              <wp:extent cx="558800" cy="5588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558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" w:before="300" w:line="240" w:lineRule="auto"/>
    </w:pPr>
    <w:rPr>
      <w:rFonts w:ascii="Libre Franklin" w:cs="Libre Franklin" w:eastAsia="Libre Franklin" w:hAnsi="Libre Franklin"/>
      <w:color w:val="00656b"/>
      <w:sz w:val="56"/>
      <w:szCs w:val="56"/>
    </w:rPr>
  </w:style>
  <w:style w:type="paragraph" w:styleId="Heading2">
    <w:name w:val="heading 2"/>
    <w:basedOn w:val="Normal"/>
    <w:next w:val="Normal"/>
    <w:pPr>
      <w:spacing w:after="40" w:before="240" w:line="240" w:lineRule="auto"/>
    </w:pPr>
    <w:rPr>
      <w:rFonts w:ascii="Libre Franklin" w:cs="Libre Franklin" w:eastAsia="Libre Franklin" w:hAnsi="Libre Franklin"/>
      <w:color w:val="595959"/>
      <w:sz w:val="44"/>
      <w:szCs w:val="44"/>
    </w:rPr>
  </w:style>
  <w:style w:type="paragraph" w:styleId="Heading3">
    <w:name w:val="heading 3"/>
    <w:basedOn w:val="Normal"/>
    <w:next w:val="Normal"/>
    <w:pPr>
      <w:spacing w:after="40" w:before="200" w:line="240" w:lineRule="auto"/>
    </w:pPr>
    <w:rPr>
      <w:rFonts w:ascii="Libre Franklin" w:cs="Libre Franklin" w:eastAsia="Libre Franklin" w:hAnsi="Libre Franklin"/>
      <w:color w:val="595959"/>
      <w:sz w:val="36"/>
      <w:szCs w:val="36"/>
    </w:rPr>
  </w:style>
  <w:style w:type="paragraph" w:styleId="Heading4">
    <w:name w:val="heading 4"/>
    <w:basedOn w:val="Normal"/>
    <w:next w:val="Normal"/>
    <w:pPr>
      <w:spacing w:after="0" w:before="240" w:lineRule="auto"/>
    </w:pPr>
    <w:rPr>
      <w:rFonts w:ascii="Arial Black" w:cs="Arial Black" w:eastAsia="Arial Black" w:hAnsi="Arial Black"/>
      <w:b w:val="1"/>
      <w:bCs w:val="1"/>
      <w:color w:val="8da523"/>
      <w:sz w:val="24"/>
      <w:szCs w:val="24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b w:val="1"/>
      <w:bCs w:val="1"/>
      <w:i w:val="1"/>
      <w:iCs w:val="1"/>
      <w:color w:val="8da523"/>
    </w:rPr>
  </w:style>
  <w:style w:type="paragraph" w:styleId="Heading6">
    <w:name w:val="heading 6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color w:val="5d6d17"/>
      <w:sz w:val="24"/>
      <w:szCs w:val="24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Libre Franklin" w:cs="Libre Franklin" w:eastAsia="Libre Franklin" w:hAnsi="Libre Franklin"/>
      <w:b w:val="1"/>
      <w:bCs w:val="1"/>
      <w:color w:val="008890"/>
      <w:sz w:val="80"/>
      <w:szCs w:val="80"/>
    </w:rPr>
  </w:style>
  <w:style w:type="paragraph" w:styleId="Subtitle">
    <w:name w:val="Subtitle"/>
    <w:basedOn w:val="Normal"/>
    <w:next w:val="Normal"/>
    <w:pPr>
      <w:spacing w:after="480" w:line="240" w:lineRule="auto"/>
    </w:pPr>
    <w:rPr>
      <w:rFonts w:ascii="Libre Franklin" w:cs="Libre Franklin" w:eastAsia="Libre Franklin" w:hAnsi="Libre Franklin"/>
      <w:color w:val="7f7f7f"/>
      <w:sz w:val="44"/>
      <w:szCs w:val="4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tabnet.datasus.gov.br/tabdata/livroidb/2ed/indicadores.pdf" TargetMode="External"/><Relationship Id="rId10" Type="http://schemas.openxmlformats.org/officeDocument/2006/relationships/image" Target="media/image1.png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rQOUrJ/ChUHZvOWvcIV3HF7Jcw==">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