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i016dqnbmitv – Percentual de registros únicos na base de dados da RNDS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Mede a proporção de registros que não possuem duplicidade técnica ou lógica dentro da base de dados da RNDS. Considera-se um registro único aquele que possui um identificador exclusivo (ID do documento) ou que, após análise de chaves compostas </w:t>
      </w:r>
      <w:r w:rsidDel="00000000" w:rsidR="00000000" w:rsidRPr="00000000">
        <w:rPr>
          <w:rtl w:val="0"/>
        </w:rPr>
        <w:t xml:space="preserve">(Paciente + Data Completa + Evento Clínico* + Sistema + Estabelecimento)</w:t>
      </w:r>
      <w:r w:rsidDel="00000000" w:rsidR="00000000" w:rsidRPr="00000000">
        <w:rPr>
          <w:rtl w:val="0"/>
        </w:rPr>
        <w:t xml:space="preserve">, não apresenta repetição idêntica.</w:t>
      </w:r>
    </w:p>
    <w:p w:rsidR="00000000" w:rsidDel="00000000" w:rsidP="00000000" w:rsidRDefault="00000000" w:rsidRPr="00000000" w14:paraId="0000000D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[*OBS: </w:t>
      </w:r>
      <w:r w:rsidDel="00000000" w:rsidR="00000000" w:rsidRPr="00000000">
        <w:rPr>
          <w:i w:val="1"/>
          <w:iCs w:val="1"/>
          <w:rtl w:val="0"/>
        </w:rPr>
        <w:t xml:space="preserve">Considerar o evento clínico específico do modelo. Por exemplo: Para o Registro de Imunização são avaliados os campos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imunobiológico e dose</w:t>
      </w:r>
      <w:r w:rsidDel="00000000" w:rsidR="00000000" w:rsidRPr="00000000">
        <w:rPr>
          <w:i w:val="1"/>
          <w:iCs w:val="1"/>
          <w:rtl w:val="0"/>
        </w:rPr>
        <w:t xml:space="preserve">.]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Este indicador reflete a </w:t>
      </w:r>
      <w:r w:rsidDel="00000000" w:rsidR="00000000" w:rsidRPr="00000000">
        <w:rPr>
          <w:b w:val="1"/>
          <w:bCs w:val="1"/>
          <w:rtl w:val="0"/>
        </w:rPr>
        <w:t xml:space="preserve">Não-duplicidade (nb)</w:t>
      </w:r>
      <w:r w:rsidDel="00000000" w:rsidR="00000000" w:rsidRPr="00000000">
        <w:rPr>
          <w:rtl w:val="0"/>
        </w:rPr>
        <w:t xml:space="preserve"> e a eficiência do processo de ingestão.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8.0000000000000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Valores próximos a 100%:</w:t>
      </w:r>
      <w:r w:rsidDel="00000000" w:rsidR="00000000" w:rsidRPr="00000000">
        <w:rPr>
          <w:rtl w:val="0"/>
        </w:rPr>
        <w:t xml:space="preserve"> Indicam uma base saneada e processos de integração que tratam corretamente as re-submissões de dados.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8.0000000000000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Valores baixos:</w:t>
      </w:r>
      <w:r w:rsidDel="00000000" w:rsidR="00000000" w:rsidRPr="00000000">
        <w:rPr>
          <w:rtl w:val="0"/>
        </w:rPr>
        <w:t xml:space="preserve"> Sugerem falhas no controle de versões dos documentos (HL7 FHIR) ou problemas nos barramentos de integração que replicam a mesma informação múltiplas vezes, causando o "ruído de dados".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falhas técnicas nos sistemas de origem que realizam envios duplicados;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Otimizar o armazenamento e o processamento do Datalake;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Garantir a precisão de indicadores de produção assistencial, evitando a contagem dupla de procedimentos.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 identificação de duplicidade lógica (mesmo atendimento enviado com IDs diferentes) requer algoritmos complexos de </w:t>
      </w:r>
      <w:r w:rsidDel="00000000" w:rsidR="00000000" w:rsidRPr="00000000">
        <w:rPr>
          <w:i w:val="1"/>
          <w:iCs w:val="1"/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que podem ter falsos positivos. Depende da consistência dos metadados de identificação do documento.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Todos os Modelos Informacionais da RNDS (Transversal).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Cálculo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(Número </w:t>
      </w:r>
      <w:r w:rsidDel="00000000" w:rsidR="00000000" w:rsidRPr="00000000">
        <w:rPr>
          <w:color w:val="5d6d17"/>
          <w:rtl w:val="0"/>
        </w:rPr>
        <w:t xml:space="preserve">consolidado </w:t>
      </w:r>
      <w:r w:rsidDel="00000000" w:rsidR="00000000" w:rsidRPr="00000000">
        <w:rPr>
          <w:rtl w:val="0"/>
        </w:rPr>
        <w:t xml:space="preserve">de registros únicos identificados / Total de registros na base) * 100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Informacional (RAC, RIA, CMD, REL, RPM).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de Origem (SIS).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23">
      <w:pPr>
        <w:spacing w:after="0" w:line="278.0000000000000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400"/>
      </w:tblPr>
      <w:tblGrid>
        <w:gridCol w:w="2310"/>
        <w:gridCol w:w="6705"/>
        <w:tblGridChange w:id="0">
          <w:tblGrid>
            <w:gridCol w:w="2310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únicos na base de dados da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registros que possuem ID exclusivo (UUID/Hash) em relação ao volume total de entradas no Datalake.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(Redshift):</w:t>
            </w:r>
            <w:r w:rsidDel="00000000" w:rsidR="00000000" w:rsidRPr="00000000">
              <w:rPr>
                <w:rtl w:val="0"/>
              </w:rPr>
              <w:t xml:space="preserve"> (COUNT(DISTINCT id_documento_rnds) / COUNT(*)) * 100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 i019 &lt;- (n_distinct(df$id_documento) / nrow(df)) * 100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  <w:t xml:space="preserve"> i019 = DIVIDE(DISTINCTCOUNT(Tabela[id_documento]),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id_documento_rnds, co_paciente, dt_atendimento, st_documento_rnds.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Tabelas de Produção RNDS (Camada Silver/Gold do Datalake).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RNDS (Transversal).</w:t>
            </w:r>
          </w:p>
        </w:tc>
      </w:tr>
      <w:tr>
        <w:trPr>
          <w:cantSplit w:val="0"/>
          <w:trHeight w:val="62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Em caso de múltiplas versões do mesmo documento (bundle), considerar apenas a versão mais recente como o registro único 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Modelo Informacional, Software Houses (Sistemas de Origem).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colisões de chaves e análise de duplicidade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de conteúdo clínico.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ISC/UFBA na Meta 2</w:t>
            </w:r>
            <w:r w:rsidDel="00000000" w:rsidR="00000000" w:rsidRPr="00000000">
              <w:rPr>
                <w:rtl w:val="0"/>
              </w:rPr>
              <w:t xml:space="preserve"> – Cientistas e engenheiros de dados.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rtl w:val="0"/>
              </w:rPr>
              <w:t xml:space="preserve"> – Responsável pela governança técnica do barramento.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Logs de ingestão da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sugerido: i019dqnbmitv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019 = ordem; dq = dimensão qualidade; nb = não-duplicidade; mi = modelo informacional;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ABNT NBR ISO/IEC 12207.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fnsjk2sSBwpNwpAUURjgrdGrw==">CgMxLjA4AGopChRzdWdnZXN0LjR3ZHR2dGNyNHJyaRIRVmVyaWRpYW5hIFJhbWFsaG9yITFDd2M2bWlDWDQzS3NXX2hlLVlFMFkta2h4YTJ0T0x0VA==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