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color w:val="000000"/>
          <w:sz w:val="22"/>
          <w:szCs w:val="22"/>
        </w:rPr>
      </w:pPr>
      <w:r w:rsidDel="00000000" w:rsidR="00000000" w:rsidRPr="00000000">
        <w:rPr>
          <w:rtl w:val="0"/>
        </w:rPr>
      </w:r>
    </w:p>
    <w:tbl>
      <w:tblPr>
        <w:tblStyle w:val="Table1"/>
        <w:tblpPr w:leftFromText="180" w:rightFromText="180" w:topFromText="0" w:bottomFromText="0" w:vertAnchor="text" w:horzAnchor="text" w:tblpX="841" w:tblpY="10467"/>
        <w:tblW w:w="11076.0" w:type="dxa"/>
        <w:jc w:val="left"/>
        <w:tblLayout w:type="fixed"/>
        <w:tblLook w:val="04A0"/>
      </w:tblPr>
      <w:tblGrid>
        <w:gridCol w:w="11076"/>
        <w:tblGridChange w:id="0">
          <w:tblGrid>
            <w:gridCol w:w="11076"/>
          </w:tblGrid>
        </w:tblGridChange>
      </w:tblGrid>
      <w:tr>
        <w:trPr>
          <w:cantSplit w:val="0"/>
          <w:trHeight w:val="592" w:hRule="atLeast"/>
          <w:tblHeader w:val="0"/>
        </w:trPr>
        <w:tc>
          <w:tcPr>
            <w:shd w:fill="auto" w:val="clear"/>
            <w:vAlign w:val="bottom"/>
          </w:tcPr>
          <w:p w:rsidR="00000000" w:rsidDel="00000000" w:rsidP="00000000" w:rsidRDefault="00000000" w:rsidRPr="00000000" w14:paraId="00000002">
            <w:pPr>
              <w:spacing w:after="200" w:lineRule="auto"/>
              <w:rPr>
                <w:smallCaps w:val="1"/>
              </w:rPr>
            </w:pPr>
            <w:r w:rsidDel="00000000" w:rsidR="00000000" w:rsidRPr="00000000">
              <w:rPr>
                <w:smallCaps w:val="1"/>
              </w:rPr>
              <mc:AlternateContent>
                <mc:Choice Requires="wpg">
                  <w:drawing>
                    <wp:inline distB="0" distT="0" distL="0" distR="0">
                      <wp:extent cx="5976938" cy="838200"/>
                      <wp:effectExtent b="0" l="0" r="0" t="0"/>
                      <wp:docPr id="2" name=""/>
                      <a:graphic>
                        <a:graphicData uri="http://schemas.microsoft.com/office/word/2010/wordprocessingShape">
                          <wps:wsp>
                            <wps:cNvSpPr/>
                            <wps:cNvPr id="3" name="Shape 3"/>
                            <wps:spPr>
                              <a:xfrm>
                                <a:off x="1897950" y="3377938"/>
                                <a:ext cx="6896100" cy="804125"/>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80"/>
                                      <w:vertAlign w:val="baseline"/>
                                    </w:rPr>
                                    <w:t xml:space="preserve">Ficha de qualificação e requisitos</w:t>
                                  </w:r>
                                </w:p>
                              </w:txbxContent>
                            </wps:txbx>
                            <wps:bodyPr anchorCtr="0" anchor="t" bIns="45700" lIns="91425" spcFirstLastPara="1" rIns="91425" wrap="square" tIns="45700">
                              <a:noAutofit/>
                            </wps:bodyPr>
                          </wps:wsp>
                        </a:graphicData>
                      </a:graphic>
                    </wp:inline>
                  </w:drawing>
                </mc:Choice>
                <mc:Fallback>
                  <w:drawing>
                    <wp:inline distB="0" distT="0" distL="0" distR="0">
                      <wp:extent cx="5976938" cy="838200"/>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76938" cy="838200"/>
                              </a:xfrm>
                              <a:prstGeom prst="rect"/>
                              <a:ln/>
                            </pic:spPr>
                          </pic:pic>
                        </a:graphicData>
                      </a:graphic>
                    </wp:inline>
                  </w:drawing>
                </mc:Fallback>
              </mc:AlternateContent>
            </w:r>
            <w:r w:rsidDel="00000000" w:rsidR="00000000" w:rsidRPr="00000000">
              <w:rPr>
                <w:rtl w:val="0"/>
              </w:rPr>
            </w:r>
          </w:p>
        </w:tc>
      </w:tr>
      <w:tr>
        <w:trPr>
          <w:cantSplit w:val="0"/>
          <w:trHeight w:val="948" w:hRule="atLeast"/>
          <w:tblHeader w:val="0"/>
        </w:trPr>
        <w:tc>
          <w:tcPr>
            <w:shd w:fill="auto" w:val="clear"/>
          </w:tcPr>
          <w:p w:rsidR="00000000" w:rsidDel="00000000" w:rsidP="00000000" w:rsidRDefault="00000000" w:rsidRPr="00000000" w14:paraId="00000003">
            <w:pPr>
              <w:spacing w:after="200" w:lineRule="auto"/>
              <w:rPr>
                <w:smallCaps w:val="1"/>
              </w:rPr>
            </w:pPr>
            <w:r w:rsidDel="00000000" w:rsidR="00000000" w:rsidRPr="00000000">
              <w:rPr>
                <w:smallCaps w:val="1"/>
              </w:rPr>
              <mc:AlternateContent>
                <mc:Choice Requires="wpg">
                  <w:drawing>
                    <wp:inline distB="0" distT="0" distL="0" distR="0">
                      <wp:extent cx="5607050" cy="477487"/>
                      <wp:effectExtent b="0" l="0" r="0" t="0"/>
                      <wp:docPr id="1" name=""/>
                      <a:graphic>
                        <a:graphicData uri="http://schemas.microsoft.com/office/word/2010/wordprocessingShape">
                          <wps:wsp>
                            <wps:cNvSpPr/>
                            <wps:cNvPr id="2" name="Shape 2"/>
                            <wps:spPr>
                              <a:xfrm>
                                <a:off x="2561525" y="3560307"/>
                                <a:ext cx="5568950" cy="439387"/>
                              </a:xfrm>
                              <a:prstGeom prst="rect">
                                <a:avLst/>
                              </a:prstGeom>
                              <a:noFill/>
                              <a:ln>
                                <a:noFill/>
                              </a:ln>
                            </wps:spPr>
                            <wps:txbx>
                              <w:txbxContent>
                                <w:p w:rsidR="00000000" w:rsidDel="00000000" w:rsidP="00000000" w:rsidRDefault="00000000" w:rsidRPr="00000000">
                                  <w:pPr>
                                    <w:spacing w:after="48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44"/>
                                      <w:vertAlign w:val="baseline"/>
                                    </w:rPr>
                                    <w:t xml:space="preserve">Indicadores de Qualidade de Dados da RNDS</w:t>
                                  </w:r>
                                </w:p>
                              </w:txbxContent>
                            </wps:txbx>
                            <wps:bodyPr anchorCtr="0" anchor="t" bIns="45700" lIns="91425" spcFirstLastPara="1" rIns="91425" wrap="square" tIns="45700">
                              <a:noAutofit/>
                            </wps:bodyPr>
                          </wps:wsp>
                        </a:graphicData>
                      </a:graphic>
                    </wp:inline>
                  </w:drawing>
                </mc:Choice>
                <mc:Fallback>
                  <w:drawing>
                    <wp:inline distB="0" distT="0" distL="0" distR="0">
                      <wp:extent cx="5607050" cy="477487"/>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607050" cy="477487"/>
                              </a:xfrm>
                              <a:prstGeom prst="rect"/>
                              <a:ln/>
                            </pic:spPr>
                          </pic:pic>
                        </a:graphicData>
                      </a:graphic>
                    </wp:inline>
                  </w:drawing>
                </mc:Fallback>
              </mc:AlternateContent>
            </w:r>
            <w:r w:rsidDel="00000000" w:rsidR="00000000" w:rsidRPr="00000000">
              <w:rPr>
                <w:rtl w:val="0"/>
              </w:rPr>
            </w:r>
          </w:p>
        </w:tc>
      </w:tr>
      <w:tr>
        <w:trPr>
          <w:cantSplit w:val="0"/>
          <w:trHeight w:val="948" w:hRule="atLeast"/>
          <w:tblHeader w:val="0"/>
        </w:trPr>
        <w:tc>
          <w:tcPr>
            <w:shd w:fill="auto" w:val="clear"/>
          </w:tcPr>
          <w:p w:rsidR="00000000" w:rsidDel="00000000" w:rsidP="00000000" w:rsidRDefault="00000000" w:rsidRPr="00000000" w14:paraId="00000004">
            <w:pPr>
              <w:spacing w:after="200" w:lineRule="auto"/>
              <w:rPr>
                <w:smallCaps w:val="1"/>
              </w:rPr>
            </w:pPr>
            <w:r w:rsidDel="00000000" w:rsidR="00000000" w:rsidRPr="00000000">
              <w:rPr>
                <w:smallCaps w:val="1"/>
              </w:rPr>
              <mc:AlternateContent>
                <mc:Choice Requires="wpg">
                  <w:drawing>
                    <wp:inline distB="0" distT="0" distL="0" distR="0">
                      <wp:extent cx="6394450" cy="477487"/>
                      <wp:effectExtent b="0" l="0" r="0" t="0"/>
                      <wp:docPr id="3" name=""/>
                      <a:graphic>
                        <a:graphicData uri="http://schemas.microsoft.com/office/word/2010/wordprocessingShape">
                          <wps:wsp>
                            <wps:cNvSpPr/>
                            <wps:cNvPr id="4" name="Shape 4"/>
                            <wps:spPr>
                              <a:xfrm>
                                <a:off x="2167825" y="3560307"/>
                                <a:ext cx="6356350" cy="439387"/>
                              </a:xfrm>
                              <a:prstGeom prst="rect">
                                <a:avLst/>
                              </a:prstGeom>
                              <a:noFill/>
                              <a:ln>
                                <a:noFill/>
                              </a:ln>
                            </wps:spPr>
                            <wps:txbx>
                              <w:txbxContent>
                                <w:p w:rsidR="00000000" w:rsidDel="00000000" w:rsidP="00000000" w:rsidRDefault="00000000" w:rsidRPr="00000000">
                                  <w:pPr>
                                    <w:spacing w:after="48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ffffff"/>
                                      <w:sz w:val="44"/>
                                      <w:vertAlign w:val="baseline"/>
                                    </w:rPr>
                                    <w:t xml:space="preserve">2025 | Por: Meta 2 – Índice de qualidade de dados</w:t>
                                  </w:r>
                                </w:p>
                              </w:txbxContent>
                            </wps:txbx>
                            <wps:bodyPr anchorCtr="0" anchor="t" bIns="45700" lIns="91425" spcFirstLastPara="1" rIns="91425" wrap="square" tIns="45700">
                              <a:noAutofit/>
                            </wps:bodyPr>
                          </wps:wsp>
                        </a:graphicData>
                      </a:graphic>
                    </wp:inline>
                  </w:drawing>
                </mc:Choice>
                <mc:Fallback>
                  <w:drawing>
                    <wp:inline distB="0" distT="0" distL="0" distR="0">
                      <wp:extent cx="6394450" cy="477487"/>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94450" cy="47748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05">
      <w:pPr>
        <w:spacing w:after="200" w:lineRule="auto"/>
        <w:rPr>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-1114420</wp:posOffset>
                </wp:positionH>
                <wp:positionV relativeFrom="paragraph">
                  <wp:posOffset>4397375</wp:posOffset>
                </wp:positionV>
                <wp:extent cx="7814310" cy="5372100"/>
                <wp:effectExtent b="0" l="0" r="0" t="0"/>
                <wp:wrapNone/>
                <wp:docPr descr="retângulo" id="6" name=""/>
                <a:graphic>
                  <a:graphicData uri="http://schemas.microsoft.com/office/word/2010/wordprocessingShape">
                    <wps:wsp>
                      <wps:cNvSpPr/>
                      <wps:cNvPr id="7" name="Shape 7"/>
                      <wps:spPr>
                        <a:xfrm>
                          <a:off x="1457895" y="1113000"/>
                          <a:ext cx="7776210" cy="5334000"/>
                        </a:xfrm>
                        <a:prstGeom prst="rect">
                          <a:avLst/>
                        </a:prstGeom>
                        <a:solidFill>
                          <a:srgbClr val="3F3F3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-1114420</wp:posOffset>
                </wp:positionH>
                <wp:positionV relativeFrom="paragraph">
                  <wp:posOffset>4397375</wp:posOffset>
                </wp:positionV>
                <wp:extent cx="7814310" cy="5372100"/>
                <wp:effectExtent b="0" l="0" r="0" t="0"/>
                <wp:wrapNone/>
                <wp:docPr descr="retângulo" id="6" name="image7.png"/>
                <a:graphic>
                  <a:graphicData uri="http://schemas.openxmlformats.org/drawingml/2006/picture">
                    <pic:pic>
                      <pic:nvPicPr>
                        <pic:cNvPr descr="retângulo" id="0" name="image7.png"/>
                        <pic:cNvPicPr preferRelativeResize="0"/>
                      </pic:nvPicPr>
                      <pic:blipFill>
                        <a:blip r:embed="rId9"/>
                        <a:srcRect/>
                        <a:stretch>
                          <a:fillRect/>
                        </a:stretch>
                      </pic:blipFill>
                      <pic:spPr>
                        <a:xfrm>
                          <a:off x="0" y="0"/>
                          <a:ext cx="7814310" cy="53721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-911220</wp:posOffset>
                </wp:positionH>
                <wp:positionV relativeFrom="paragraph">
                  <wp:posOffset>-962020</wp:posOffset>
                </wp:positionV>
                <wp:extent cx="7814310" cy="1212850"/>
                <wp:effectExtent b="0" l="0" r="0" t="0"/>
                <wp:wrapNone/>
                <wp:docPr descr="retângulo" id="7" name=""/>
                <a:graphic>
                  <a:graphicData uri="http://schemas.microsoft.com/office/word/2010/wordprocessingShape">
                    <wps:wsp>
                      <wps:cNvSpPr/>
                      <wps:cNvPr id="8" name="Shape 8"/>
                      <wps:spPr>
                        <a:xfrm>
                          <a:off x="1457895" y="3192625"/>
                          <a:ext cx="7776210" cy="1174750"/>
                        </a:xfrm>
                        <a:prstGeom prst="rect">
                          <a:avLst/>
                        </a:prstGeom>
                        <a:solidFill>
                          <a:srgbClr val="2F559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-911220</wp:posOffset>
                </wp:positionH>
                <wp:positionV relativeFrom="paragraph">
                  <wp:posOffset>-962020</wp:posOffset>
                </wp:positionV>
                <wp:extent cx="7814310" cy="1212850"/>
                <wp:effectExtent b="0" l="0" r="0" t="0"/>
                <wp:wrapNone/>
                <wp:docPr descr="retângulo" id="7" name="image8.png"/>
                <a:graphic>
                  <a:graphicData uri="http://schemas.openxmlformats.org/drawingml/2006/picture">
                    <pic:pic>
                      <pic:nvPicPr>
                        <pic:cNvPr descr="retângulo" id="0" name="image8.png"/>
                        <pic:cNvPicPr preferRelativeResize="0"/>
                      </pic:nvPicPr>
                      <pic:blipFill>
                        <a:blip r:embed="rId9"/>
                        <a:srcRect/>
                        <a:stretch>
                          <a:fillRect/>
                        </a:stretch>
                      </pic:blipFill>
                      <pic:spPr>
                        <a:xfrm>
                          <a:off x="0" y="0"/>
                          <a:ext cx="7814310" cy="12128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-914395</wp:posOffset>
            </wp:positionH>
            <wp:positionV relativeFrom="paragraph">
              <wp:posOffset>196850</wp:posOffset>
            </wp:positionV>
            <wp:extent cx="7549205" cy="4235450"/>
            <wp:effectExtent b="0" l="0" r="0" t="0"/>
            <wp:wrapSquare wrapText="bothSides" distB="0" distT="0" distL="114300" distR="114300"/>
            <wp:docPr descr="Interface gráfica do usuário, Site&#10;&#10;O conteúdo gerado por IA pode estar incorreto." id="8" name="image1.png"/>
            <a:graphic>
              <a:graphicData uri="http://schemas.openxmlformats.org/drawingml/2006/picture">
                <pic:pic>
                  <pic:nvPicPr>
                    <pic:cNvPr descr="Interface gráfica do usuário, Site&#10;&#10;O conteúdo gerado por IA pode estar incorreto." id="0" name="image1.png"/>
                    <pic:cNvPicPr preferRelativeResize="0"/>
                  </pic:nvPicPr>
                  <pic:blipFill>
                    <a:blip r:embed="rId10"/>
                    <a:srcRect b="0" l="0" r="0" t="0"/>
                    <a:stretch>
                      <a:fillRect/>
                    </a:stretch>
                  </pic:blipFill>
                  <pic:spPr>
                    <a:xfrm>
                      <a:off x="0" y="0"/>
                      <a:ext cx="7549205" cy="4235450"/>
                    </a:xfrm>
                    <a:prstGeom prst="rect"/>
                    <a:ln/>
                  </pic:spPr>
                </pic:pic>
              </a:graphicData>
            </a:graphic>
          </wp:anchor>
        </w:drawing>
      </w:r>
    </w:p>
    <w:p w:rsidR="00000000" w:rsidDel="00000000" w:rsidP="00000000" w:rsidRDefault="00000000" w:rsidRPr="00000000" w14:paraId="00000006">
      <w:pPr>
        <w:spacing w:after="200" w:lineRule="auto"/>
        <w:rPr/>
      </w:pPr>
      <w:r w:rsidDel="00000000" w:rsidR="00000000" w:rsidRPr="00000000">
        <w:rPr>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7">
      <w:pPr>
        <w:pBdr>
          <w:top w:color="000000" w:space="1" w:sz="4" w:val="single"/>
          <w:bottom w:color="000000" w:space="1" w:sz="4" w:val="single"/>
        </w:pBdr>
        <w:spacing w:after="200" w:lineRule="auto"/>
        <w:jc w:val="center"/>
        <w:rPr>
          <w:b w:val="1"/>
          <w:bCs w:val="1"/>
        </w:rPr>
      </w:pPr>
      <w:r w:rsidDel="00000000" w:rsidR="00000000" w:rsidRPr="00000000">
        <w:rPr>
          <w:b w:val="1"/>
          <w:bCs w:val="1"/>
          <w:rtl w:val="0"/>
        </w:rPr>
        <w:t xml:space="preserve">FICHA DE QUALIFICAÇÃO</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i018dqctmitv – Percentual de registros da RNDS com data de nascimento compatível com a idade</w:t>
      </w:r>
      <w:r w:rsidDel="00000000" w:rsidR="00000000" w:rsidRPr="00000000">
        <w:rPr>
          <w:rtl w:val="0"/>
        </w:rPr>
      </w:r>
    </w:p>
    <w:p w:rsidR="00000000" w:rsidDel="00000000" w:rsidP="00000000" w:rsidRDefault="00000000" w:rsidRPr="00000000" w14:paraId="0000000A">
      <w:pPr>
        <w:spacing w:after="200" w:lineRule="auto"/>
        <w:jc w:val="both"/>
        <w:rPr>
          <w:b w:val="1"/>
          <w:bCs w:val="1"/>
        </w:rPr>
      </w:pPr>
      <w:r w:rsidDel="00000000" w:rsidR="00000000" w:rsidRPr="00000000">
        <w:rPr>
          <w:b w:val="1"/>
          <w:bCs w:val="1"/>
          <w:rtl w:val="0"/>
        </w:rPr>
        <w:t xml:space="preserve">1. Conceituação</w:t>
      </w:r>
    </w:p>
    <w:p w:rsidR="00000000" w:rsidDel="00000000" w:rsidP="00000000" w:rsidRDefault="00000000" w:rsidRPr="00000000" w14:paraId="0000000B">
      <w:pPr>
        <w:spacing w:after="200" w:lineRule="auto"/>
        <w:jc w:val="both"/>
        <w:rPr>
          <w:b w:val="1"/>
          <w:bCs w:val="1"/>
        </w:rPr>
      </w:pPr>
      <w:sdt>
        <w:sdtPr>
          <w:id w:val="-736951268"/>
          <w:tag w:val="goog_rdk_0"/>
        </w:sdtPr>
        <w:sdtContent>
          <w:commentRangeStart w:id="0"/>
        </w:sdtContent>
      </w:sdt>
      <w:r w:rsidDel="00000000" w:rsidR="00000000" w:rsidRPr="00000000">
        <w:rPr>
          <w:rtl w:val="0"/>
        </w:rPr>
        <w:t xml:space="preserve">Mede a proporção de registros integrados à RNDS que apresentam consistência </w:t>
      </w:r>
      <w:sdt>
        <w:sdtPr>
          <w:id w:val="998121891"/>
          <w:tag w:val="goog_rdk_1"/>
        </w:sdtPr>
        <w:sdtContent>
          <w:commentRangeStart w:id="1"/>
        </w:sdtContent>
      </w:sdt>
      <w:sdt>
        <w:sdtPr>
          <w:id w:val="-386346643"/>
          <w:tag w:val="goog_rdk_2"/>
        </w:sdtPr>
        <w:sdtContent>
          <w:commentRangeStart w:id="2"/>
        </w:sdtContent>
      </w:sdt>
      <w:r w:rsidDel="00000000" w:rsidR="00000000" w:rsidRPr="00000000">
        <w:rPr>
          <w:rtl w:val="0"/>
        </w:rPr>
        <w:t xml:space="preserve">cronológica</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entre a idade do paciente e a diferença entre a data de nascimento declarada do paciente e a data de ocorrência do evento de saúde (atendimento, vacina, exame, etc.).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jc w:val="both"/>
        <w:rPr>
          <w:b w:val="1"/>
          <w:bCs w:val="1"/>
        </w:rPr>
      </w:pPr>
      <w:sdt>
        <w:sdtPr>
          <w:id w:val="1441121813"/>
          <w:tag w:val="goog_rdk_3"/>
        </w:sdtPr>
        <w:sdtContent>
          <w:commentRangeStart w:id="3"/>
        </w:sdtContent>
      </w:sdt>
      <w:sdt>
        <w:sdtPr>
          <w:id w:val="-1027080085"/>
          <w:tag w:val="goog_rdk_4"/>
        </w:sdtPr>
        <w:sdtContent>
          <w:commentRangeStart w:id="4"/>
        </w:sdtContent>
      </w:sdt>
      <w:r w:rsidDel="00000000" w:rsidR="00000000" w:rsidRPr="00000000">
        <w:rPr>
          <w:b w:val="1"/>
          <w:bCs w:val="1"/>
          <w:rtl w:val="0"/>
        </w:rPr>
        <w:t xml:space="preserve">2. Interpretação</w:t>
      </w:r>
    </w:p>
    <w:p w:rsidR="00000000" w:rsidDel="00000000" w:rsidP="00000000" w:rsidRDefault="00000000" w:rsidRPr="00000000" w14:paraId="0000000D">
      <w:pPr>
        <w:spacing w:after="0" w:lineRule="auto"/>
        <w:jc w:val="both"/>
        <w:rPr/>
      </w:pPr>
      <w:r w:rsidDel="00000000" w:rsidR="00000000" w:rsidRPr="00000000">
        <w:rPr>
          <w:rtl w:val="0"/>
        </w:rPr>
        <w:t xml:space="preserve">Este indicador reflete a Consistência (ct) dos dados cadastrais e clínicos.</w:t>
      </w:r>
    </w:p>
    <w:p w:rsidR="00000000" w:rsidDel="00000000" w:rsidP="00000000" w:rsidRDefault="00000000" w:rsidRPr="00000000" w14:paraId="0000000E">
      <w:pPr>
        <w:numPr>
          <w:ilvl w:val="0"/>
          <w:numId w:val="1"/>
        </w:numPr>
        <w:spacing w:after="0" w:lineRule="auto"/>
        <w:ind w:left="720" w:hanging="360"/>
        <w:jc w:val="both"/>
        <w:rPr/>
      </w:pPr>
      <w:r w:rsidDel="00000000" w:rsidR="00000000" w:rsidRPr="00000000">
        <w:rPr>
          <w:rtl w:val="0"/>
        </w:rPr>
        <w:t xml:space="preserve">Valores Baixos: Indicam falhas críticas no preenchimento de datas nos sistemas de origem ou erros no processo de integração/mapeamento. Registros com idade negativa ou idades biologicamente impossíveis (ex: &gt; 130 anos) comprometem todas as análises epidemiológicas por ciclo de vida. No primeiro caso, (idades negativas) poderão ser investigadas nesse mesmo indicador. Já os registros com idades maiores que 130 anos e devem ser incluídos em um outro indicador de monitoramento para verificar se continuam ocorrendo periodicamente.</w:t>
      </w:r>
    </w:p>
    <w:p w:rsidR="00000000" w:rsidDel="00000000" w:rsidP="00000000" w:rsidRDefault="00000000" w:rsidRPr="00000000" w14:paraId="0000000F">
      <w:pPr>
        <w:numPr>
          <w:ilvl w:val="0"/>
          <w:numId w:val="1"/>
        </w:numPr>
        <w:spacing w:after="0" w:lineRule="auto"/>
        <w:ind w:left="720" w:hanging="360"/>
        <w:jc w:val="both"/>
        <w:rPr/>
      </w:pPr>
      <w:r w:rsidDel="00000000" w:rsidR="00000000" w:rsidRPr="00000000">
        <w:rPr>
          <w:rtl w:val="0"/>
        </w:rPr>
        <w:t xml:space="preserve">Valores Altos: Indicam alta integridade e boa qualidade de consistência nos registros de data de nascimento e data do evento nos sistemas que alimentam a RNDS.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0">
      <w:pPr>
        <w:spacing w:after="0" w:lineRule="auto"/>
        <w:jc w:val="both"/>
        <w:rPr>
          <w:b w:val="1"/>
          <w:bCs w:val="1"/>
        </w:rPr>
      </w:pPr>
      <w:r w:rsidDel="00000000" w:rsidR="00000000" w:rsidRPr="00000000">
        <w:rPr>
          <w:b w:val="1"/>
          <w:bCs w:val="1"/>
          <w:rtl w:val="0"/>
        </w:rPr>
        <w:t xml:space="preserve">3. Usos</w:t>
      </w:r>
    </w:p>
    <w:p w:rsidR="00000000" w:rsidDel="00000000" w:rsidP="00000000" w:rsidRDefault="00000000" w:rsidRPr="00000000" w14:paraId="00000011">
      <w:pPr>
        <w:numPr>
          <w:ilvl w:val="0"/>
          <w:numId w:val="2"/>
        </w:numPr>
        <w:spacing w:after="0" w:lineRule="auto"/>
        <w:ind w:left="720" w:hanging="360"/>
        <w:jc w:val="both"/>
        <w:rPr/>
      </w:pPr>
      <w:r w:rsidDel="00000000" w:rsidR="00000000" w:rsidRPr="00000000">
        <w:rPr>
          <w:rtl w:val="0"/>
        </w:rPr>
        <w:t xml:space="preserve">Identificar sistemas de informação com falhas de validação de campos de data;</w:t>
      </w:r>
    </w:p>
    <w:p w:rsidR="00000000" w:rsidDel="00000000" w:rsidP="00000000" w:rsidRDefault="00000000" w:rsidRPr="00000000" w14:paraId="00000012">
      <w:pPr>
        <w:numPr>
          <w:ilvl w:val="0"/>
          <w:numId w:val="2"/>
        </w:numPr>
        <w:spacing w:after="0" w:lineRule="auto"/>
        <w:ind w:left="720" w:hanging="360"/>
        <w:jc w:val="both"/>
        <w:rPr/>
      </w:pPr>
      <w:r w:rsidDel="00000000" w:rsidR="00000000" w:rsidRPr="00000000">
        <w:rPr>
          <w:rtl w:val="0"/>
        </w:rPr>
        <w:t xml:space="preserve">Saneamento de base para cálculos de taxas de incidência e prevalência por faixa etária;</w:t>
      </w:r>
    </w:p>
    <w:p w:rsidR="00000000" w:rsidDel="00000000" w:rsidP="00000000" w:rsidRDefault="00000000" w:rsidRPr="00000000" w14:paraId="00000013">
      <w:pPr>
        <w:numPr>
          <w:ilvl w:val="0"/>
          <w:numId w:val="2"/>
        </w:numPr>
        <w:spacing w:after="200" w:lineRule="auto"/>
        <w:ind w:left="720" w:hanging="360"/>
        <w:jc w:val="both"/>
        <w:rPr/>
      </w:pPr>
      <w:r w:rsidDel="00000000" w:rsidR="00000000" w:rsidRPr="00000000">
        <w:rPr>
          <w:rtl w:val="0"/>
        </w:rPr>
        <w:t xml:space="preserve">Apoiar a qualificação do Cadastro Nacional de Usuários do SUS (CADSUS).</w:t>
      </w:r>
    </w:p>
    <w:p w:rsidR="00000000" w:rsidDel="00000000" w:rsidP="00000000" w:rsidRDefault="00000000" w:rsidRPr="00000000" w14:paraId="00000014">
      <w:pPr>
        <w:spacing w:line="240" w:lineRule="auto"/>
        <w:jc w:val="both"/>
        <w:rPr>
          <w:b w:val="1"/>
          <w:bCs w:val="1"/>
        </w:rPr>
      </w:pPr>
      <w:r w:rsidDel="00000000" w:rsidR="00000000" w:rsidRPr="00000000">
        <w:rPr>
          <w:b w:val="1"/>
          <w:bCs w:val="1"/>
          <w:rtl w:val="0"/>
        </w:rPr>
        <w:t xml:space="preserve">4. Limitações</w:t>
      </w:r>
    </w:p>
    <w:p w:rsidR="00000000" w:rsidDel="00000000" w:rsidP="00000000" w:rsidRDefault="00000000" w:rsidRPr="00000000" w14:paraId="00000015">
      <w:pPr>
        <w:spacing w:after="0" w:line="240" w:lineRule="auto"/>
        <w:jc w:val="both"/>
        <w:rPr/>
      </w:pPr>
      <w:r w:rsidDel="00000000" w:rsidR="00000000" w:rsidRPr="00000000">
        <w:rPr>
          <w:rtl w:val="0"/>
        </w:rPr>
        <w:t xml:space="preserve">O indicador identifica a consistência, mas não aponta qual das duas datas está incorreta (nascimento ou evento). Não detecta erros dentro de margens plausíveis (ex: erro de 10 anos em um adulto).</w:t>
      </w:r>
    </w:p>
    <w:p w:rsidR="00000000" w:rsidDel="00000000" w:rsidP="00000000" w:rsidRDefault="00000000" w:rsidRPr="00000000" w14:paraId="00000016">
      <w:pPr>
        <w:spacing w:after="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b w:val="1"/>
          <w:bCs w:val="1"/>
        </w:rPr>
      </w:pPr>
      <w:r w:rsidDel="00000000" w:rsidR="00000000" w:rsidRPr="00000000">
        <w:rPr>
          <w:b w:val="1"/>
          <w:bCs w:val="1"/>
          <w:rtl w:val="0"/>
        </w:rPr>
        <w:t xml:space="preserve">5. Fonte</w:t>
      </w:r>
    </w:p>
    <w:p w:rsidR="00000000" w:rsidDel="00000000" w:rsidP="00000000" w:rsidRDefault="00000000" w:rsidRPr="00000000" w14:paraId="00000018">
      <w:pPr>
        <w:spacing w:after="200" w:before="200" w:line="240" w:lineRule="auto"/>
        <w:jc w:val="both"/>
        <w:rPr>
          <w:b w:val="1"/>
          <w:bCs w:val="1"/>
        </w:rPr>
      </w:pPr>
      <w:r w:rsidDel="00000000" w:rsidR="00000000" w:rsidRPr="00000000">
        <w:rPr>
          <w:rtl w:val="0"/>
        </w:rPr>
        <w:t xml:space="preserve">Todos os Modelos Informacionais da RNDS (Transversal).</w:t>
      </w:r>
      <w:r w:rsidDel="00000000" w:rsidR="00000000" w:rsidRPr="00000000">
        <w:rPr>
          <w:rtl w:val="0"/>
        </w:rPr>
      </w:r>
    </w:p>
    <w:p w:rsidR="00000000" w:rsidDel="00000000" w:rsidP="00000000" w:rsidRDefault="00000000" w:rsidRPr="00000000" w14:paraId="00000019">
      <w:pPr>
        <w:spacing w:line="240" w:lineRule="auto"/>
        <w:jc w:val="both"/>
        <w:rPr>
          <w:b w:val="1"/>
          <w:bCs w:val="1"/>
        </w:rPr>
      </w:pPr>
      <w:r w:rsidDel="00000000" w:rsidR="00000000" w:rsidRPr="00000000">
        <w:rPr>
          <w:b w:val="1"/>
          <w:bCs w:val="1"/>
          <w:rtl w:val="0"/>
        </w:rPr>
        <w:t xml:space="preserve">6. Método de Cálculo</w:t>
      </w:r>
    </w:p>
    <w:p w:rsidR="00000000" w:rsidDel="00000000" w:rsidP="00000000" w:rsidRDefault="00000000" w:rsidRPr="00000000" w14:paraId="0000001A">
      <w:pPr>
        <w:spacing w:after="0" w:line="240" w:lineRule="auto"/>
        <w:jc w:val="both"/>
        <w:rPr/>
      </w:pPr>
      <w:r w:rsidDel="00000000" w:rsidR="00000000" w:rsidRPr="00000000">
        <w:rPr>
          <w:rtl w:val="0"/>
        </w:rPr>
        <w:t xml:space="preserve">(Número de registros com datas compatíveis / </w:t>
      </w:r>
      <w:r w:rsidDel="00000000" w:rsidR="00000000" w:rsidRPr="00000000">
        <w:rPr>
          <w:rtl w:val="0"/>
        </w:rPr>
        <w:t xml:space="preserve">Total de registros com ambas as datas preenchidas</w:t>
      </w:r>
      <w:r w:rsidDel="00000000" w:rsidR="00000000" w:rsidRPr="00000000">
        <w:rPr>
          <w:rtl w:val="0"/>
        </w:rPr>
        <w:t xml:space="preserve">) * 100</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7. Categorias sugeridas para análise</w:t>
      </w:r>
    </w:p>
    <w:p w:rsidR="00000000" w:rsidDel="00000000" w:rsidP="00000000" w:rsidRDefault="00000000" w:rsidRPr="00000000" w14:paraId="0000001D">
      <w:pPr>
        <w:numPr>
          <w:ilvl w:val="0"/>
          <w:numId w:val="3"/>
        </w:numPr>
        <w:spacing w:after="0" w:lineRule="auto"/>
        <w:ind w:left="720" w:hanging="360"/>
        <w:jc w:val="both"/>
        <w:rPr/>
      </w:pPr>
      <w:r w:rsidDel="00000000" w:rsidR="00000000" w:rsidRPr="00000000">
        <w:rPr>
          <w:rtl w:val="0"/>
        </w:rPr>
        <w:t xml:space="preserve">Unidade geográfica (Região, UF, Município).</w:t>
      </w:r>
    </w:p>
    <w:p w:rsidR="00000000" w:rsidDel="00000000" w:rsidP="00000000" w:rsidRDefault="00000000" w:rsidRPr="00000000" w14:paraId="0000001E">
      <w:pPr>
        <w:numPr>
          <w:ilvl w:val="0"/>
          <w:numId w:val="3"/>
        </w:numPr>
        <w:spacing w:after="0" w:lineRule="auto"/>
        <w:ind w:left="720" w:hanging="360"/>
        <w:jc w:val="both"/>
        <w:rPr/>
      </w:pPr>
      <w:r w:rsidDel="00000000" w:rsidR="00000000" w:rsidRPr="00000000">
        <w:rPr>
          <w:rtl w:val="0"/>
        </w:rPr>
        <w:t xml:space="preserve">Modelo Informacional (RAC, RIA, CMD, REL, RPM).</w:t>
      </w:r>
    </w:p>
    <w:p w:rsidR="00000000" w:rsidDel="00000000" w:rsidP="00000000" w:rsidRDefault="00000000" w:rsidRPr="00000000" w14:paraId="0000001F">
      <w:pPr>
        <w:numPr>
          <w:ilvl w:val="0"/>
          <w:numId w:val="3"/>
        </w:numPr>
        <w:spacing w:after="0" w:lineRule="auto"/>
        <w:ind w:left="720" w:hanging="360"/>
        <w:jc w:val="both"/>
        <w:rPr/>
      </w:pPr>
      <w:r w:rsidDel="00000000" w:rsidR="00000000" w:rsidRPr="00000000">
        <w:rPr>
          <w:rtl w:val="0"/>
        </w:rPr>
        <w:t xml:space="preserve">Faixa Etária detectada (para identificar o tipo de erro: futuro ou passado remoto).</w:t>
      </w:r>
    </w:p>
    <w:p w:rsidR="00000000" w:rsidDel="00000000" w:rsidP="00000000" w:rsidRDefault="00000000" w:rsidRPr="00000000" w14:paraId="00000020">
      <w:pPr>
        <w:numPr>
          <w:ilvl w:val="0"/>
          <w:numId w:val="3"/>
        </w:numPr>
        <w:spacing w:after="200" w:lineRule="auto"/>
        <w:ind w:left="720" w:hanging="360"/>
        <w:jc w:val="both"/>
        <w:rPr/>
      </w:pPr>
      <w:r w:rsidDel="00000000" w:rsidR="00000000" w:rsidRPr="00000000">
        <w:rPr>
          <w:rtl w:val="0"/>
        </w:rPr>
        <w:t xml:space="preserve">Período (Mensal, Trimestral, Anual).</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8. Referência</w:t>
      </w:r>
    </w:p>
    <w:p w:rsidR="00000000" w:rsidDel="00000000" w:rsidP="00000000" w:rsidRDefault="00000000" w:rsidRPr="00000000" w14:paraId="00000022">
      <w:pPr>
        <w:spacing w:after="0" w:lineRule="auto"/>
        <w:ind w:left="720" w:firstLine="0"/>
        <w:jc w:val="both"/>
        <w:rPr/>
      </w:pPr>
      <w:r w:rsidDel="00000000" w:rsidR="00000000" w:rsidRPr="00000000">
        <w:rPr>
          <w:rtl w:val="0"/>
        </w:rPr>
        <w:t xml:space="preserve">Modelo da Ficha de Qualificação de Indicadores (FQI). RIPSA – Rede Interagencial de Informações para a Saúde. Disponível em: https://www.ripsa.org.br/indicadores/fqi/. </w:t>
        <w:br w:type="textWrapping"/>
        <w:t xml:space="preserve">Modelo aplicado: </w:t>
      </w:r>
      <w:hyperlink r:id="rId11">
        <w:r w:rsidDel="00000000" w:rsidR="00000000" w:rsidRPr="00000000">
          <w:rPr>
            <w:rtl w:val="0"/>
          </w:rPr>
          <w:t xml:space="preserve">http://tabnet.datasus.gov.br/tabdata/livroidb/2ed/indicadores.pdf</w:t>
        </w:r>
      </w:hyperlink>
      <w:r w:rsidDel="00000000" w:rsidR="00000000" w:rsidRPr="00000000">
        <w:rPr>
          <w:rtl w:val="0"/>
        </w:rPr>
        <w:t xml:space="preserve">. </w:t>
      </w:r>
    </w:p>
    <w:p w:rsidR="00000000" w:rsidDel="00000000" w:rsidP="00000000" w:rsidRDefault="00000000" w:rsidRPr="00000000" w14:paraId="00000023">
      <w:pPr>
        <w:spacing w:after="0" w:lineRule="auto"/>
        <w:ind w:left="720" w:firstLine="0"/>
        <w:jc w:val="both"/>
        <w:rPr/>
      </w:pPr>
      <w:r w:rsidDel="00000000" w:rsidR="00000000" w:rsidRPr="00000000">
        <w:rPr>
          <w:rtl w:val="0"/>
        </w:rPr>
        <w:t xml:space="preserve">Acesso em: 10 abr. 2025.</w:t>
      </w:r>
    </w:p>
    <w:p w:rsidR="00000000" w:rsidDel="00000000" w:rsidP="00000000" w:rsidRDefault="00000000" w:rsidRPr="00000000" w14:paraId="00000024">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FICHA DE REQUISITOS</w:t>
      </w:r>
    </w:p>
    <w:p w:rsidR="00000000" w:rsidDel="00000000" w:rsidP="00000000" w:rsidRDefault="00000000" w:rsidRPr="00000000" w14:paraId="00000027">
      <w:pPr>
        <w:jc w:val="center"/>
        <w:rPr>
          <w:b w:val="1"/>
          <w:bCs w:val="1"/>
        </w:rPr>
      </w:pPr>
      <w:r w:rsidDel="00000000" w:rsidR="00000000" w:rsidRPr="00000000">
        <w:rPr>
          <w:rtl w:val="0"/>
        </w:rPr>
      </w:r>
    </w:p>
    <w:tbl>
      <w:tblPr>
        <w:tblStyle w:val="Table2"/>
        <w:tblW w:w="9010.0" w:type="dxa"/>
        <w:jc w:val="left"/>
        <w:tblLayout w:type="fixed"/>
        <w:tblLook w:val="0400"/>
      </w:tblPr>
      <w:tblGrid>
        <w:gridCol w:w="2190"/>
        <w:gridCol w:w="6820"/>
        <w:tblGridChange w:id="0">
          <w:tblGrid>
            <w:gridCol w:w="2190"/>
            <w:gridCol w:w="68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Campo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Descrição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A">
            <w:pPr>
              <w:spacing w:after="0" w:line="240" w:lineRule="auto"/>
              <w:rPr>
                <w:i w:val="1"/>
                <w:iCs w:val="1"/>
              </w:rPr>
            </w:pPr>
            <w:r w:rsidDel="00000000" w:rsidR="00000000" w:rsidRPr="00000000">
              <w:rPr>
                <w:i w:val="1"/>
                <w:iCs w:val="1"/>
                <w:rtl w:val="0"/>
              </w:rPr>
              <w:t xml:space="preserve">Nome do 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B">
            <w:pPr>
              <w:spacing w:after="0" w:line="240" w:lineRule="auto"/>
              <w:rPr/>
            </w:pPr>
            <w:r w:rsidDel="00000000" w:rsidR="00000000" w:rsidRPr="00000000">
              <w:rPr>
                <w:rtl w:val="0"/>
              </w:rPr>
              <w:t xml:space="preserve">Percentual de registros da RNDS com data de nascimento incompatível com a idade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C">
            <w:pPr>
              <w:spacing w:after="0" w:line="240" w:lineRule="auto"/>
              <w:rPr>
                <w:i w:val="1"/>
                <w:iCs w:val="1"/>
              </w:rPr>
            </w:pPr>
            <w:r w:rsidDel="00000000" w:rsidR="00000000" w:rsidRPr="00000000">
              <w:rPr>
                <w:i w:val="1"/>
                <w:iCs w:val="1"/>
                <w:rtl w:val="0"/>
              </w:rPr>
              <w:t xml:space="preserve">Descrição Técnica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D">
            <w:pPr>
              <w:spacing w:after="0" w:line="240" w:lineRule="auto"/>
              <w:rPr/>
            </w:pPr>
            <w:r w:rsidDel="00000000" w:rsidR="00000000" w:rsidRPr="00000000">
              <w:rPr>
                <w:rtl w:val="0"/>
              </w:rPr>
              <w:t xml:space="preserve">Percentual de registros onde dt_nascimento &gt; dt_evento (idade negativa) ou idade_calculada &gt; 130 (idade biologicamente implausível).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E">
            <w:pPr>
              <w:spacing w:after="0" w:line="240" w:lineRule="auto"/>
              <w:rPr>
                <w:i w:val="1"/>
                <w:iCs w:val="1"/>
              </w:rPr>
            </w:pPr>
            <w:r w:rsidDel="00000000" w:rsidR="00000000" w:rsidRPr="00000000">
              <w:rPr>
                <w:i w:val="1"/>
                <w:iCs w:val="1"/>
                <w:rtl w:val="0"/>
              </w:rPr>
              <w:t xml:space="preserve">Fórmula de Cálculo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F">
            <w:pPr>
              <w:spacing w:after="0" w:line="240" w:lineRule="auto"/>
              <w:rPr/>
            </w:pPr>
            <w:r w:rsidDel="00000000" w:rsidR="00000000" w:rsidRPr="00000000">
              <w:rPr>
                <w:rtl w:val="0"/>
              </w:rPr>
              <w:t xml:space="preserve">SQL (Redshift): (COUNT(*) FILTER (WHERE dt_nascimento &gt; dt_evento OR DATEDIFF(year, dt_nascimento, dt_evento) &gt; 130) / COUNT(*)) * 100</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t xml:space="preserve">R: `i021 &lt;- mean(df$dt_nasc &gt; df$dt_evt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2">
            <w:pPr>
              <w:spacing w:after="0" w:line="240" w:lineRule="auto"/>
              <w:rPr>
                <w:i w:val="1"/>
                <w:iCs w:val="1"/>
              </w:rPr>
            </w:pPr>
            <w:r w:rsidDel="00000000" w:rsidR="00000000" w:rsidRPr="00000000">
              <w:rPr>
                <w:i w:val="1"/>
                <w:iCs w:val="1"/>
                <w:rtl w:val="0"/>
              </w:rPr>
              <w:t xml:space="preserve">Campos Necessários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3">
            <w:pPr>
              <w:spacing w:after="0" w:line="240" w:lineRule="auto"/>
              <w:rPr/>
            </w:pPr>
            <w:r w:rsidDel="00000000" w:rsidR="00000000" w:rsidRPr="00000000">
              <w:rPr>
                <w:rtl w:val="0"/>
              </w:rPr>
              <w:t xml:space="preserve">dt_nascimento_paciente, dt_atendimento (ou dt_evento), st_documento_rnds.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4">
            <w:pPr>
              <w:spacing w:after="0" w:line="240" w:lineRule="auto"/>
              <w:rPr>
                <w:i w:val="1"/>
                <w:iCs w:val="1"/>
              </w:rPr>
            </w:pPr>
            <w:r w:rsidDel="00000000" w:rsidR="00000000" w:rsidRPr="00000000">
              <w:rPr>
                <w:i w:val="1"/>
                <w:iCs w:val="1"/>
                <w:rtl w:val="0"/>
              </w:rPr>
              <w:t xml:space="preserve">Tabelas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5">
            <w:pPr>
              <w:spacing w:after="0" w:line="240" w:lineRule="auto"/>
              <w:rPr/>
            </w:pPr>
            <w:r w:rsidDel="00000000" w:rsidR="00000000" w:rsidRPr="00000000">
              <w:rPr>
                <w:rtl w:val="0"/>
              </w:rPr>
              <w:t xml:space="preserve">Tabela enriquecida da RNDS (Datalake).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6">
            <w:pPr>
              <w:spacing w:after="0" w:line="240" w:lineRule="auto"/>
              <w:rPr>
                <w:i w:val="1"/>
                <w:iCs w:val="1"/>
              </w:rPr>
            </w:pPr>
            <w:r w:rsidDel="00000000" w:rsidR="00000000" w:rsidRPr="00000000">
              <w:rPr>
                <w:i w:val="1"/>
                <w:iCs w:val="1"/>
                <w:rtl w:val="0"/>
              </w:rPr>
              <w:t xml:space="preserve">Sistema de Origem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Todos da RNDS (Transversal).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8">
            <w:pPr>
              <w:spacing w:after="0" w:line="240" w:lineRule="auto"/>
              <w:rPr>
                <w:i w:val="1"/>
                <w:iCs w:val="1"/>
              </w:rPr>
            </w:pPr>
            <w:r w:rsidDel="00000000" w:rsidR="00000000" w:rsidRPr="00000000">
              <w:rPr>
                <w:i w:val="1"/>
                <w:iCs w:val="1"/>
                <w:rtl w:val="0"/>
              </w:rPr>
              <w:t xml:space="preserve">Período de Atualização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9">
            <w:pPr>
              <w:spacing w:after="0" w:line="240" w:lineRule="auto"/>
              <w:rPr/>
            </w:pPr>
            <w:r w:rsidDel="00000000" w:rsidR="00000000" w:rsidRPr="00000000">
              <w:rPr>
                <w:rtl w:val="0"/>
              </w:rPr>
              <w:t xml:space="preserve">Mensal.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A">
            <w:pPr>
              <w:spacing w:after="0" w:line="240" w:lineRule="auto"/>
              <w:rPr>
                <w:i w:val="1"/>
                <w:iCs w:val="1"/>
              </w:rPr>
            </w:pPr>
            <w:r w:rsidDel="00000000" w:rsidR="00000000" w:rsidRPr="00000000">
              <w:rPr>
                <w:i w:val="1"/>
                <w:iCs w:val="1"/>
                <w:rtl w:val="0"/>
              </w:rPr>
              <w:t xml:space="preserve">Regras de Negócio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B">
            <w:pPr>
              <w:spacing w:after="0" w:line="240" w:lineRule="auto"/>
              <w:rPr/>
            </w:pPr>
            <w:r w:rsidDel="00000000" w:rsidR="00000000" w:rsidRPr="00000000">
              <w:rPr>
                <w:rtl w:val="0"/>
              </w:rPr>
              <w:t xml:space="preserve">Considerar apenas registros com status = 'final'. A idade de 130 anos é adotada como limite superior de plausibilidade biológica extrema. Idade negativa é erro de cronologia.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C">
            <w:pPr>
              <w:spacing w:after="0" w:line="240" w:lineRule="auto"/>
              <w:rPr>
                <w:i w:val="1"/>
                <w:iCs w:val="1"/>
              </w:rPr>
            </w:pPr>
            <w:r w:rsidDel="00000000" w:rsidR="00000000" w:rsidRPr="00000000">
              <w:rPr>
                <w:i w:val="1"/>
                <w:iCs w:val="1"/>
                <w:rtl w:val="0"/>
              </w:rPr>
              <w:t xml:space="preserve">Tipo de Dado Esperado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Percentual (0 a 100).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E">
            <w:pPr>
              <w:spacing w:after="0" w:line="240" w:lineRule="auto"/>
              <w:rPr>
                <w:i w:val="1"/>
                <w:iCs w:val="1"/>
              </w:rPr>
            </w:pPr>
            <w:r w:rsidDel="00000000" w:rsidR="00000000" w:rsidRPr="00000000">
              <w:rPr>
                <w:i w:val="1"/>
                <w:iCs w:val="1"/>
                <w:rtl w:val="0"/>
              </w:rPr>
              <w:t xml:space="preserve">Desagregações Possíveis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F">
            <w:pPr>
              <w:spacing w:after="0" w:line="240" w:lineRule="auto"/>
              <w:rPr/>
            </w:pPr>
            <w:r w:rsidDel="00000000" w:rsidR="00000000" w:rsidRPr="00000000">
              <w:rPr>
                <w:rtl w:val="0"/>
              </w:rPr>
              <w:t xml:space="preserve">UF, Município, Modelo Informacional, Sistema de Informação.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0">
            <w:pPr>
              <w:spacing w:after="0" w:line="240" w:lineRule="auto"/>
              <w:rPr>
                <w:i w:val="1"/>
                <w:iCs w:val="1"/>
              </w:rPr>
            </w:pPr>
            <w:r w:rsidDel="00000000" w:rsidR="00000000" w:rsidRPr="00000000">
              <w:rPr>
                <w:i w:val="1"/>
                <w:iCs w:val="1"/>
                <w:rtl w:val="0"/>
              </w:rPr>
              <w:t xml:space="preserve">Validações Esperadas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1">
            <w:pPr>
              <w:spacing w:after="0" w:line="240" w:lineRule="auto"/>
              <w:rPr/>
            </w:pPr>
            <w:r w:rsidDel="00000000" w:rsidR="00000000" w:rsidRPr="00000000">
              <w:rPr>
                <w:rtl w:val="0"/>
              </w:rPr>
              <w:t xml:space="preserve">Verificação de integridade entre dt_nascimento e dt_evento.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spacing w:after="0" w:line="240" w:lineRule="auto"/>
              <w:rPr>
                <w:i w:val="1"/>
                <w:iCs w:val="1"/>
              </w:rPr>
            </w:pPr>
            <w:r w:rsidDel="00000000" w:rsidR="00000000" w:rsidRPr="00000000">
              <w:rPr>
                <w:i w:val="1"/>
                <w:iCs w:val="1"/>
                <w:rtl w:val="0"/>
              </w:rPr>
              <w:t xml:space="preserve">Data de Implantação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Abril de 2025.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4">
            <w:pPr>
              <w:spacing w:after="0" w:line="240" w:lineRule="auto"/>
              <w:rPr>
                <w:i w:val="1"/>
                <w:iCs w:val="1"/>
              </w:rPr>
            </w:pPr>
            <w:r w:rsidDel="00000000" w:rsidR="00000000" w:rsidRPr="00000000">
              <w:rPr>
                <w:i w:val="1"/>
                <w:iCs w:val="1"/>
                <w:rtl w:val="0"/>
              </w:rPr>
              <w:t xml:space="preserve">Responsável Técnico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Equipe ISC/UFBA na Meta 2 – Composta por estatísticos, sanitaristas e cientistas de dados.</w:t>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tl w:val="0"/>
              </w:rPr>
              <w:t xml:space="preserve">Equipe do Ministério da Saúde – Responsável pela validação dos requisitos e bases cadastrais.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8">
            <w:pPr>
              <w:spacing w:after="0" w:line="240" w:lineRule="auto"/>
              <w:rPr>
                <w:i w:val="1"/>
                <w:iCs w:val="1"/>
              </w:rPr>
            </w:pPr>
            <w:r w:rsidDel="00000000" w:rsidR="00000000" w:rsidRPr="00000000">
              <w:rPr>
                <w:i w:val="1"/>
                <w:iCs w:val="1"/>
                <w:rtl w:val="0"/>
              </w:rPr>
              <w:t xml:space="preserve">Fonte Complementar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9">
            <w:pPr>
              <w:spacing w:after="0" w:line="240" w:lineRule="auto"/>
              <w:rPr/>
            </w:pPr>
            <w:r w:rsidDel="00000000" w:rsidR="00000000" w:rsidRPr="00000000">
              <w:rPr>
                <w:rtl w:val="0"/>
              </w:rPr>
              <w:t xml:space="preserve">Dicionário de dados da RNDS; Manuais de validação do CADSUS.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A">
            <w:pPr>
              <w:spacing w:after="0" w:line="240" w:lineRule="auto"/>
              <w:rPr>
                <w:i w:val="1"/>
                <w:iCs w:val="1"/>
              </w:rPr>
            </w:pPr>
            <w:r w:rsidDel="00000000" w:rsidR="00000000" w:rsidRPr="00000000">
              <w:rPr>
                <w:i w:val="1"/>
                <w:iCs w:val="1"/>
                <w:rtl w:val="0"/>
              </w:rPr>
              <w:t xml:space="preserve">Referência do indicador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B">
            <w:pPr>
              <w:spacing w:after="0" w:line="240" w:lineRule="auto"/>
              <w:rPr/>
            </w:pPr>
            <w:r w:rsidDel="00000000" w:rsidR="00000000" w:rsidRPr="00000000">
              <w:rPr>
                <w:rtl w:val="0"/>
              </w:rPr>
              <w:t xml:space="preserve">Código sugerido: i021dqctmitv</w:t>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t xml:space="preserve">(i = indicador; 021 = ordem; dq = dimensão qualidade; ct = consistência; tv = transversal).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E">
            <w:pPr>
              <w:spacing w:after="0" w:line="240" w:lineRule="auto"/>
              <w:rPr>
                <w:i w:val="1"/>
                <w:iCs w:val="1"/>
              </w:rPr>
            </w:pPr>
            <w:r w:rsidDel="00000000" w:rsidR="00000000" w:rsidRPr="00000000">
              <w:rPr>
                <w:i w:val="1"/>
                <w:iCs w:val="1"/>
                <w:rtl w:val="0"/>
              </w:rPr>
              <w:t xml:space="preserve">Versão da ficha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F">
            <w:pPr>
              <w:spacing w:after="0" w:line="240" w:lineRule="auto"/>
              <w:rPr/>
            </w:pPr>
            <w:r w:rsidDel="00000000" w:rsidR="00000000" w:rsidRPr="00000000">
              <w:rPr>
                <w:rtl w:val="0"/>
              </w:rPr>
              <w:t xml:space="preserve">Versão 1.0 em 11.02.2026.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0">
            <w:pPr>
              <w:spacing w:after="0" w:line="240" w:lineRule="auto"/>
              <w:rPr>
                <w:i w:val="1"/>
                <w:iCs w:val="1"/>
              </w:rPr>
            </w:pPr>
            <w:r w:rsidDel="00000000" w:rsidR="00000000" w:rsidRPr="00000000">
              <w:rPr>
                <w:i w:val="1"/>
                <w:iCs w:val="1"/>
                <w:rtl w:val="0"/>
              </w:rPr>
              <w:t xml:space="preserve">Referência Técnica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1">
            <w:pPr>
              <w:spacing w:after="0" w:line="240" w:lineRule="auto"/>
              <w:rPr/>
            </w:pPr>
            <w:r w:rsidDel="00000000" w:rsidR="00000000" w:rsidRPr="00000000">
              <w:rPr>
                <w:rtl w:val="0"/>
              </w:rPr>
              <w:t xml:space="preserve">SOMMERVILLE, Ian. Engenharia de Software. 9ª ed. Pearson Prentice Hall, 2011. Organização conforme normas da ABNT e IEEE 1998.</w:t>
            </w:r>
          </w:p>
        </w:tc>
      </w:tr>
    </w:tbl>
    <w:p w:rsidR="00000000" w:rsidDel="00000000" w:rsidP="00000000" w:rsidRDefault="00000000" w:rsidRPr="00000000" w14:paraId="00000052">
      <w:pPr>
        <w:rPr>
          <w:b w:val="1"/>
          <w:bCs w:val="1"/>
        </w:rPr>
      </w:pPr>
      <w:r w:rsidDel="00000000" w:rsidR="00000000" w:rsidRPr="00000000">
        <w:rPr>
          <w:rtl w:val="0"/>
        </w:rPr>
      </w:r>
    </w:p>
    <w:sectPr>
      <w:footerReference r:id="rId12" w:type="default"/>
      <w:footerReference r:id="rId13" w:type="even"/>
      <w:pgSz w:h="16838" w:w="11906" w:orient="portrait"/>
      <w:pgMar w:bottom="993" w:top="1134"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racy Bertoldo" w:id="3" w:date="2026-07-31T17:13:39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w:t>
      </w:r>
    </w:p>
  </w:comment>
  <w:comment w:author="Meta2 Susdigital" w:id="4" w:date="2026-08-07T01:29:00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Reescrevi de uma forma mais comprrensível.</w:t>
      </w:r>
    </w:p>
  </w:comment>
  <w:comment w:author="Jessy Leal" w:id="1" w:date="2026-08-06T01:34:42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Pronto Jura e Mirlei. Acabo de revisar. Penso que está bom. Mas incluiremos outro indicador para monitorar as diferenças negativas e airies que 130.</w:t>
      </w:r>
    </w:p>
  </w:comment>
  <w:comment w:author="Meta2 Susdigital" w:id="2" w:date="2026-08-06T17:38:58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*maiores</w:t>
      </w:r>
    </w:p>
  </w:comment>
  <w:comment w:author="Juracy Bertoldo" w:id="0" w:date="2026-07-31T17:11:53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@jessy.saude@gmail.com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jessy.saude@gmail.com_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6" w15:done="0"/>
  <w15:commentEx w15:paraId="00000057" w15:paraIdParent="00000056" w15:done="0"/>
  <w15:commentEx w15:paraId="00000058" w15:done="0"/>
  <w15:commentEx w15:paraId="00000059" w15:paraIdParent="00000058" w15:done="0"/>
  <w15:commentEx w15:paraId="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6861176</wp:posOffset>
              </wp:positionH>
              <wp:positionV relativeFrom="paragraph">
                <wp:posOffset>180976</wp:posOffset>
              </wp:positionV>
              <wp:extent cx="558800" cy="558800"/>
              <wp:effectExtent b="0" l="0" r="0" t="0"/>
              <wp:wrapNone/>
              <wp:docPr id="4" name=""/>
              <a:graphic>
                <a:graphicData uri="http://schemas.microsoft.com/office/word/2010/wordprocessingShape">
                  <wps:wsp>
                    <wps:cNvSpPr/>
                    <wps:cNvPr id="5" name="Shape 5"/>
                    <wps:spPr>
                      <a:xfrm>
                        <a:off x="5085650" y="3519650"/>
                        <a:ext cx="520700" cy="520700"/>
                      </a:xfrm>
                      <a:prstGeom prst="roundRect">
                        <a:avLst>
                          <a:gd fmla="val 16667"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4448"/>
                              <w:sz w:val="36"/>
                              <w:vertAlign w:val="baseline"/>
                            </w:rPr>
                            <w:t xml:space="preserve"> PAGE  \* Arabic  \* MERGEFORMAT 1</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6861176</wp:posOffset>
              </wp:positionH>
              <wp:positionV relativeFrom="paragraph">
                <wp:posOffset>180976</wp:posOffset>
              </wp:positionV>
              <wp:extent cx="558800" cy="5588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58800" cy="558800"/>
                      </a:xfrm>
                      <a:prstGeom prst="rect"/>
                      <a:ln/>
                    </pic:spPr>
                  </pic:pic>
                </a:graphicData>
              </a:graphic>
            </wp:anchor>
          </w:drawing>
        </mc:Fallback>
      </mc:AlternateConten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320"/>
        <w:tab w:val="right" w:leader="none" w:pos="8640"/>
      </w:tabs>
      <w:rPr>
        <w:color w:val="000000"/>
        <w:sz w:val="2"/>
        <w:szCs w:val="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6899276</wp:posOffset>
              </wp:positionH>
              <wp:positionV relativeFrom="paragraph">
                <wp:posOffset>193676</wp:posOffset>
              </wp:positionV>
              <wp:extent cx="558800" cy="558800"/>
              <wp:effectExtent b="0" l="0" r="0" t="0"/>
              <wp:wrapNone/>
              <wp:docPr id="5" name=""/>
              <a:graphic>
                <a:graphicData uri="http://schemas.microsoft.com/office/word/2010/wordprocessingShape">
                  <wps:wsp>
                    <wps:cNvSpPr/>
                    <wps:cNvPr id="6" name="Shape 6"/>
                    <wps:spPr>
                      <a:xfrm>
                        <a:off x="5085650" y="3519650"/>
                        <a:ext cx="520700" cy="520700"/>
                      </a:xfrm>
                      <a:prstGeom prst="roundRect">
                        <a:avLst>
                          <a:gd fmla="val 16667"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4448"/>
                              <w:sz w:val="36"/>
                              <w:vertAlign w:val="baseline"/>
                            </w:rPr>
                            <w:t xml:space="preserve"> PAGE  \* Arabic  \* MERGEFORMAT 1</w:t>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6899276</wp:posOffset>
              </wp:positionH>
              <wp:positionV relativeFrom="paragraph">
                <wp:posOffset>193676</wp:posOffset>
              </wp:positionV>
              <wp:extent cx="558800" cy="5588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8800" cy="5588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240" w:lineRule="auto"/>
    </w:pPr>
    <w:rPr>
      <w:rFonts w:ascii="Libre Franklin" w:cs="Libre Franklin" w:eastAsia="Libre Franklin" w:hAnsi="Libre Franklin"/>
      <w:color w:val="00656b"/>
      <w:sz w:val="56"/>
      <w:szCs w:val="56"/>
    </w:rPr>
  </w:style>
  <w:style w:type="paragraph" w:styleId="Heading2">
    <w:name w:val="heading 2"/>
    <w:basedOn w:val="Normal"/>
    <w:next w:val="Normal"/>
    <w:pPr>
      <w:spacing w:after="40" w:before="240" w:line="240" w:lineRule="auto"/>
    </w:pPr>
    <w:rPr>
      <w:rFonts w:ascii="Libre Franklin" w:cs="Libre Franklin" w:eastAsia="Libre Franklin" w:hAnsi="Libre Franklin"/>
      <w:color w:val="595959"/>
      <w:sz w:val="44"/>
      <w:szCs w:val="44"/>
    </w:rPr>
  </w:style>
  <w:style w:type="paragraph" w:styleId="Heading3">
    <w:name w:val="heading 3"/>
    <w:basedOn w:val="Normal"/>
    <w:next w:val="Normal"/>
    <w:pPr>
      <w:spacing w:after="40" w:before="200" w:line="240" w:lineRule="auto"/>
    </w:pPr>
    <w:rPr>
      <w:rFonts w:ascii="Libre Franklin" w:cs="Libre Franklin" w:eastAsia="Libre Franklin" w:hAnsi="Libre Franklin"/>
      <w:color w:val="595959"/>
      <w:sz w:val="36"/>
      <w:szCs w:val="36"/>
    </w:rPr>
  </w:style>
  <w:style w:type="paragraph" w:styleId="Heading4">
    <w:name w:val="heading 4"/>
    <w:basedOn w:val="Normal"/>
    <w:next w:val="Normal"/>
    <w:pPr>
      <w:spacing w:after="0" w:before="240" w:lineRule="auto"/>
    </w:pPr>
    <w:rPr>
      <w:rFonts w:ascii="Arial Black" w:cs="Arial Black" w:eastAsia="Arial Black" w:hAnsi="Arial Black"/>
      <w:b w:val="1"/>
      <w:bCs w:val="1"/>
      <w:color w:val="8da523"/>
      <w:sz w:val="24"/>
      <w:szCs w:val="24"/>
    </w:rPr>
  </w:style>
  <w:style w:type="paragraph" w:styleId="Heading5">
    <w:name w:val="heading 5"/>
    <w:basedOn w:val="Normal"/>
    <w:next w:val="Normal"/>
    <w:pPr>
      <w:spacing w:after="0" w:before="200" w:lineRule="auto"/>
    </w:pPr>
    <w:rPr>
      <w:rFonts w:ascii="Arial Black" w:cs="Arial Black" w:eastAsia="Arial Black" w:hAnsi="Arial Black"/>
      <w:b w:val="1"/>
      <w:bCs w:val="1"/>
      <w:i w:val="1"/>
      <w:iCs w:val="1"/>
      <w:color w:val="8da523"/>
    </w:rPr>
  </w:style>
  <w:style w:type="paragraph" w:styleId="Heading6">
    <w:name w:val="heading 6"/>
    <w:basedOn w:val="Normal"/>
    <w:next w:val="Normal"/>
    <w:pPr>
      <w:spacing w:after="0" w:before="200" w:lineRule="auto"/>
    </w:pPr>
    <w:rPr>
      <w:rFonts w:ascii="Arial Black" w:cs="Arial Black" w:eastAsia="Arial Black" w:hAnsi="Arial Black"/>
      <w:color w:val="5d6d17"/>
      <w:sz w:val="24"/>
      <w:szCs w:val="24"/>
    </w:rPr>
  </w:style>
  <w:style w:type="paragraph" w:styleId="Title">
    <w:name w:val="Title"/>
    <w:basedOn w:val="Normal"/>
    <w:next w:val="Normal"/>
    <w:pPr>
      <w:spacing w:line="240" w:lineRule="auto"/>
    </w:pPr>
    <w:rPr>
      <w:rFonts w:ascii="Libre Franklin" w:cs="Libre Franklin" w:eastAsia="Libre Franklin" w:hAnsi="Libre Franklin"/>
      <w:b w:val="1"/>
      <w:bCs w:val="1"/>
      <w:color w:val="008890"/>
      <w:sz w:val="80"/>
      <w:szCs w:val="80"/>
    </w:rPr>
  </w:style>
  <w:style w:type="paragraph" w:styleId="Subtitle">
    <w:name w:val="Subtitle"/>
    <w:basedOn w:val="Normal"/>
    <w:next w:val="Normal"/>
    <w:pPr>
      <w:spacing w:after="480" w:line="240" w:lineRule="auto"/>
    </w:pPr>
    <w:rPr>
      <w:rFonts w:ascii="Libre Franklin" w:cs="Libre Franklin" w:eastAsia="Libre Franklin" w:hAnsi="Libre Franklin"/>
      <w:color w:val="7f7f7f"/>
      <w:sz w:val="44"/>
      <w:szCs w:val="4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abnet.datasus.gov.br/tabdata/livroidb/2ed/indicadores.pdf" TargetMode="Externa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y9PvYMuwFUVhO7mubPhaLG3YFA==">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