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841" w:tblpY="10467"/>
        <w:tblW w:w="11076.0" w:type="dxa"/>
        <w:jc w:val="left"/>
        <w:tblLayout w:type="fixed"/>
        <w:tblLook w:val="04A0"/>
      </w:tblPr>
      <w:tblGrid>
        <w:gridCol w:w="11076"/>
        <w:tblGridChange w:id="0">
          <w:tblGrid>
            <w:gridCol w:w="11076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053138" cy="828675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1897950" y="3377938"/>
                                <a:ext cx="6896100" cy="80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80"/>
                                      <w:vertAlign w:val="baseline"/>
                                    </w:rPr>
                                    <w:t xml:space="preserve">Ficha de qualificação e requisitos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053138" cy="828675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53138" cy="8286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5597525" cy="467962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561525" y="3560307"/>
                                <a:ext cx="55689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Indicadores de Qualidade de Dados da RNDS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597525" cy="467962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97525" cy="46796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024563" cy="466725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2167825" y="3560307"/>
                                <a:ext cx="63563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2025 | Por: Meta 2 – Índice de qualidade de dados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024563" cy="466725"/>
                      <wp:effectExtent b="0" l="0" r="0" t="0"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24563" cy="4667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-1114420</wp:posOffset>
                </wp:positionH>
                <wp:positionV relativeFrom="paragraph">
                  <wp:posOffset>4410075</wp:posOffset>
                </wp:positionV>
                <wp:extent cx="7804785" cy="5362575"/>
                <wp:effectExtent b="0" l="0" r="0" t="0"/>
                <wp:wrapNone/>
                <wp:docPr descr="retângulo"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457895" y="1113000"/>
                          <a:ext cx="7776210" cy="5334000"/>
                        </a:xfrm>
                        <a:prstGeom prst="rect">
                          <a:avLst/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-1114420</wp:posOffset>
                </wp:positionH>
                <wp:positionV relativeFrom="paragraph">
                  <wp:posOffset>4410075</wp:posOffset>
                </wp:positionV>
                <wp:extent cx="7804785" cy="5362575"/>
                <wp:effectExtent b="0" l="0" r="0" t="0"/>
                <wp:wrapNone/>
                <wp:docPr descr="retângulo" id="6" name="image7.png"/>
                <a:graphic>
                  <a:graphicData uri="http://schemas.openxmlformats.org/drawingml/2006/picture">
                    <pic:pic>
                      <pic:nvPicPr>
                        <pic:cNvPr descr="retângulo"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4785" cy="536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-911220</wp:posOffset>
                </wp:positionH>
                <wp:positionV relativeFrom="paragraph">
                  <wp:posOffset>-962020</wp:posOffset>
                </wp:positionV>
                <wp:extent cx="7804785" cy="1203325"/>
                <wp:effectExtent b="0" l="0" r="0" t="0"/>
                <wp:wrapNone/>
                <wp:docPr descr="retângulo"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457895" y="3192625"/>
                          <a:ext cx="7776210" cy="1174750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-911220</wp:posOffset>
                </wp:positionH>
                <wp:positionV relativeFrom="paragraph">
                  <wp:posOffset>-962020</wp:posOffset>
                </wp:positionV>
                <wp:extent cx="7804785" cy="1203325"/>
                <wp:effectExtent b="0" l="0" r="0" t="0"/>
                <wp:wrapNone/>
                <wp:docPr descr="retângulo" id="7" name="image8.png"/>
                <a:graphic>
                  <a:graphicData uri="http://schemas.openxmlformats.org/drawingml/2006/picture">
                    <pic:pic>
                      <pic:nvPicPr>
                        <pic:cNvPr descr="retângulo"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4785" cy="1203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-914396</wp:posOffset>
            </wp:positionH>
            <wp:positionV relativeFrom="paragraph">
              <wp:posOffset>196850</wp:posOffset>
            </wp:positionV>
            <wp:extent cx="7549205" cy="4235450"/>
            <wp:effectExtent b="0" l="0" r="0" t="0"/>
            <wp:wrapSquare wrapText="bothSides" distB="0" distT="0" distL="114300" distR="114300"/>
            <wp:docPr descr="Interface gráfica do usuário, Site&#10;&#10;O conteúdo gerado por IA pode estar incorreto." id="8" name="image1.png"/>
            <a:graphic>
              <a:graphicData uri="http://schemas.openxmlformats.org/drawingml/2006/picture">
                <pic:pic>
                  <pic:nvPicPr>
                    <pic:cNvPr descr="Interface gráfica do usuário, Site&#10;&#10;O conteúdo gerado por IA pode estar incorreto.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9205" cy="423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bottom w:color="000000" w:space="1" w:sz="4" w:val="single"/>
        </w:pBdr>
        <w:spacing w:after="2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FICHA DE QUALIFICAÇÃO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i020dqcmmitv – Percentual de modelos informacionais com documentação pública atualizada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Conceituação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Mede a proporção de modelos informacionais ativos na RNDS (como RAC, RIA, CMD, etc.) que possuem seus guias de implementação e dicionários de dados disponíveis em canais públicos (Simplifier, GitLab ou Portal RNDS) e devidamente atualizados em relação à versão vigente em produção.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Interpretação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Este indicador reflete o nível de transparência e a maturidade da governança de dados da RNDS.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78.0000000000000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Percentuais Elevados:</w:t>
      </w:r>
      <w:r w:rsidDel="00000000" w:rsidR="00000000" w:rsidRPr="00000000">
        <w:rPr>
          <w:rtl w:val="0"/>
        </w:rPr>
        <w:t xml:space="preserve"> Indicam que as definições metodológicas acompanham as mudanças técnicas, facilitando a interoperabilidade 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78.0000000000000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Percentuais Baixos:</w:t>
      </w:r>
      <w:r w:rsidDel="00000000" w:rsidR="00000000" w:rsidRPr="00000000">
        <w:rPr>
          <w:rtl w:val="0"/>
        </w:rPr>
        <w:t xml:space="preserve"> Sugerem uma "dívida técnica" de documentação, o que pode levar a erros de integração pelos sistemas de origem devido à falta de clareza sobre as regras de negócio vigentes.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Usos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="278.0000000000000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Monitorar a qualidade da clareza metodológica do ecossistema RNDS;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="278.0000000000000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Garantir que as equipes de desenvolvimento dos sistemas de origem (SIS) tenham acesso a orientações fidedignas;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00" w:line="278.0000000000000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Apoiar a auditoria de conformidade entre o que está documentado e o que é recebido no Datalake.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Limitações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O indicador depende da existência de um inventário centralizado de modelos informacionais e de uma marcação de "data de última revisão" nos repositórios de documentação. Não avalia a qualidade do conteúdo pedagógico da documentação, apenas sua existência e tempestividade.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Fonte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Inventário de Modelos da RNDS e Repositórios de Documentação Técnica (Portal RNDS / Simplifier / GitLab).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Método de Cálcul</w:t>
      </w:r>
      <w:sdt>
        <w:sdtPr>
          <w:id w:val="-537580263"/>
          <w:tag w:val="goog_rdk_0"/>
        </w:sdtPr>
        <w:sdtContent>
          <w:commentRangeStart w:id="0"/>
        </w:sdtContent>
      </w:sdt>
      <w:sdt>
        <w:sdtPr>
          <w:id w:val="-2118475164"/>
          <w:tag w:val="goog_rdk_1"/>
        </w:sdtPr>
        <w:sdtContent>
          <w:commentRangeStart w:id="1"/>
        </w:sdtContent>
      </w:sdt>
      <w:r w:rsidDel="00000000" w:rsidR="00000000" w:rsidRPr="00000000">
        <w:rPr>
          <w:b w:val="1"/>
          <w:bCs w:val="1"/>
          <w:rtl w:val="0"/>
        </w:rPr>
        <w:t xml:space="preserve">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(Número de modelos informacionais com documentação pública atualizada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/ Total de modelos informacionais ativos) * 100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Categorias sugeridas para análise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="278.0000000000000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Unidade de análise (Modelo Informacional: Transversal).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="278.0000000000000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Status de Atualização (Atualizado, Defasado, Não Documentado).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00" w:line="278.0000000000000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Período (trimestral, semestral, anual).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Referência</w:t>
      </w:r>
    </w:p>
    <w:p w:rsidR="00000000" w:rsidDel="00000000" w:rsidP="00000000" w:rsidRDefault="00000000" w:rsidRPr="00000000" w14:paraId="00000020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Modelo da Ficha de Qualificação de Indicadores (FQI). RIPSA – Rede Interagencial de Informações para a Saúde. Disponível em: https://www.ripsa.org.br/indicadores/fqi/. </w:t>
        <w:br w:type="textWrapping"/>
        <w:t xml:space="preserve">Modelo aplicado: </w:t>
      </w:r>
      <w:hyperlink r:id="rId11">
        <w:r w:rsidDel="00000000" w:rsidR="00000000" w:rsidRPr="00000000">
          <w:rPr>
            <w:rtl w:val="0"/>
          </w:rPr>
          <w:t xml:space="preserve">http://tabnet.datasus.gov.br/tabdata/livroidb/2ed/indicadores.pdf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1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Acesso em: 10 abr. 2025.</w:t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REQUISITOS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Layout w:type="fixed"/>
        <w:tblLook w:val="0400"/>
      </w:tblPr>
      <w:tblGrid>
        <w:gridCol w:w="2430"/>
        <w:gridCol w:w="6570"/>
        <w:tblGridChange w:id="0">
          <w:tblGrid>
            <w:gridCol w:w="2430"/>
            <w:gridCol w:w="65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Percentual de modelos informacionais com documentação pública atualizada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Descrição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Percentual de tabelas ou modelos informacionais que possuem documentação pública correspondente à versão técnica em produção.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Fórmula de Cálculo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(Metadados):</w:t>
            </w:r>
            <w:r w:rsidDel="00000000" w:rsidR="00000000" w:rsidRPr="00000000">
              <w:rPr>
                <w:rtl w:val="0"/>
              </w:rPr>
              <w:t xml:space="preserve"> (COUNT(id_modelo) FILTER (WHERE st_documentacao = 'atualizado') / COUNT(id_modelo)) * 100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R:</w:t>
            </w:r>
            <w:r w:rsidDel="00000000" w:rsidR="00000000" w:rsidRPr="00000000">
              <w:rPr>
                <w:rtl w:val="0"/>
              </w:rPr>
              <w:t xml:space="preserve"> i023 &lt;- (sum(modelos$doc_status == "atualizado") / nrow(modelos)) * 100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DAX:</w:t>
            </w:r>
            <w:r w:rsidDel="00000000" w:rsidR="00000000" w:rsidRPr="00000000">
              <w:rPr>
                <w:rtl w:val="0"/>
              </w:rPr>
              <w:t xml:space="preserve"> i023 = DIVIDE(CALCULATE(COUNTROWS(Modelos), Modelos[StatusDoc] = "Atualizado"), COUNTROWS(Modelos)) * 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Campos Necessários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id_modelo, nm_modelo, dt_ultima_versao_prod, dt_ultima_atualizacao_doc, st_documentacao.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Tabelas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Tabela de Gestão de Metadados / Catálogo de Dados da RNDS.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Sistema de Origem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RNDS (Governança).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Período de Atualização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Mensal ou Semestral.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Regras de Negócio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Considerar "atualizado" o modelo cuja documentação pública reflete fielmente o último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  <w:t xml:space="preserve"> HL7 FHIR publicado e cujas alterações tenham sido registradas em histórico de versão há menos de 12 meses.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Tipo de Dado Esperado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Percentual (0 a 100).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Desagregações Possíveis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Modelo Informacional (RAC, RIA, CMD, REL, RPM, RRA, etc.).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Validações Esperadas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Verificação de link público ativo e data de modificação do arquivo/repositório.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de Implantação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Abril de 2025.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Responsável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Equipe ISC/UFBA na Meta 2</w:t>
            </w:r>
            <w:r w:rsidDel="00000000" w:rsidR="00000000" w:rsidRPr="00000000">
              <w:rPr>
                <w:rtl w:val="0"/>
              </w:rPr>
              <w:t xml:space="preserve"> – Cientistas de dados e estatísticos.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Equipe do Ministério da Saúde</w:t>
            </w:r>
            <w:r w:rsidDel="00000000" w:rsidR="00000000" w:rsidRPr="00000000">
              <w:rPr>
                <w:rtl w:val="0"/>
              </w:rPr>
              <w:t xml:space="preserve"> – Engenheiros de dados e gestores de metadados.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Fonte Complementar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Dicionário de variáveis da RNDS; Planilha de acompanhamento de integração.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sugerido: i023dqcmmitv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(i = indicador; 023 = ordem; dq = dimensão qualidade; cm = clareza metodológica; mi = modelo informacional; tv = transversal).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Versão da ficha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Versão 1.0 em 11.02.2026.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IEEE Std 829-1998 para Documentação de Software; ABNT NBR ISO/IEC 12207.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even"/>
      <w:pgSz w:h="16838" w:w="11906" w:orient="portrait"/>
      <w:pgMar w:bottom="993" w:top="1134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eta2 Susdigital" w:id="0" w:date="2026-07-29T21:41:52Z"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1 - REL ok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2 - RIA-R - ok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3 - RAC - ok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4 - RPM - ok mudou para REPM (Registro Eletrônico de Prescrição Médica)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5 - RDM - ok mudou para REDFM (Registro Eletrônico de dispensação e fornecimento de medicamento)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6 - CMD - ok CMD - Portaria GM/MS Nº 11.952, DE 13 DE julho DE 2026 (Esse foi repuplicado)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7 - SA (SUMÁRIO de ALTA)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8 - SAO (SUMÁRIO de ALTA OBSTÉTRICA)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9 - RIRA (Regulação) - ok Portaria RIRA - Portaria GM/MS nº 6.656, de 7 de março de 2025</w:t>
      </w:r>
    </w:p>
  </w:comment>
  <w:comment w:author="Meta2 Susdigital" w:id="1" w:date="2026-07-29T21:49:58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Precisamos saber dos 7 modelo que já foram publicados, quais passaram por uma republicação e quais precisam ser republicados, mas ainda não foi possível. Os documentos em que não há identificação de atualização, desde a publicação, são contabilizados como atualizados.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E" w15:done="0"/>
  <w15:commentEx w15:paraId="0000005F" w15:paraIdParent="0000005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6873876</wp:posOffset>
              </wp:positionH>
              <wp:positionV relativeFrom="paragraph">
                <wp:posOffset>193676</wp:posOffset>
              </wp:positionV>
              <wp:extent cx="549275" cy="54927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6873876</wp:posOffset>
              </wp:positionH>
              <wp:positionV relativeFrom="paragraph">
                <wp:posOffset>193676</wp:posOffset>
              </wp:positionV>
              <wp:extent cx="549275" cy="549275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9275" cy="549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  <w:sz w:val="2"/>
        <w:szCs w:val="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6911976</wp:posOffset>
              </wp:positionH>
              <wp:positionV relativeFrom="paragraph">
                <wp:posOffset>206376</wp:posOffset>
              </wp:positionV>
              <wp:extent cx="549275" cy="54927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6911976</wp:posOffset>
              </wp:positionH>
              <wp:positionV relativeFrom="paragraph">
                <wp:posOffset>206376</wp:posOffset>
              </wp:positionV>
              <wp:extent cx="549275" cy="549275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9275" cy="549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="240" w:lineRule="auto"/>
    </w:pPr>
    <w:rPr>
      <w:rFonts w:ascii="Libre Franklin" w:cs="Libre Franklin" w:eastAsia="Libre Franklin" w:hAnsi="Libre Franklin"/>
      <w:color w:val="00656b"/>
      <w:sz w:val="56"/>
      <w:szCs w:val="56"/>
    </w:rPr>
  </w:style>
  <w:style w:type="paragraph" w:styleId="Heading2">
    <w:name w:val="heading 2"/>
    <w:basedOn w:val="Normal"/>
    <w:next w:val="Normal"/>
    <w:pPr>
      <w:spacing w:after="40" w:before="240" w:line="240" w:lineRule="auto"/>
    </w:pPr>
    <w:rPr>
      <w:rFonts w:ascii="Libre Franklin" w:cs="Libre Franklin" w:eastAsia="Libre Franklin" w:hAnsi="Libre Franklin"/>
      <w:color w:val="595959"/>
      <w:sz w:val="44"/>
      <w:szCs w:val="44"/>
    </w:rPr>
  </w:style>
  <w:style w:type="paragraph" w:styleId="Heading3">
    <w:name w:val="heading 3"/>
    <w:basedOn w:val="Normal"/>
    <w:next w:val="Normal"/>
    <w:pPr>
      <w:spacing w:after="40" w:before="200" w:line="240" w:lineRule="auto"/>
    </w:pPr>
    <w:rPr>
      <w:rFonts w:ascii="Libre Franklin" w:cs="Libre Franklin" w:eastAsia="Libre Franklin" w:hAnsi="Libre Franklin"/>
      <w:color w:val="595959"/>
      <w:sz w:val="36"/>
      <w:szCs w:val="36"/>
    </w:rPr>
  </w:style>
  <w:style w:type="paragraph" w:styleId="Heading4">
    <w:name w:val="heading 4"/>
    <w:basedOn w:val="Normal"/>
    <w:next w:val="Normal"/>
    <w:pPr>
      <w:spacing w:after="0" w:before="240" w:lineRule="auto"/>
    </w:pPr>
    <w:rPr>
      <w:rFonts w:ascii="Arial Black" w:cs="Arial Black" w:eastAsia="Arial Black" w:hAnsi="Arial Black"/>
      <w:b w:val="1"/>
      <w:bCs w:val="1"/>
      <w:color w:val="8da523"/>
      <w:sz w:val="24"/>
      <w:szCs w:val="24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b w:val="1"/>
      <w:bCs w:val="1"/>
      <w:i w:val="1"/>
      <w:iCs w:val="1"/>
      <w:color w:val="8da523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color w:val="5d6d17"/>
      <w:sz w:val="24"/>
      <w:szCs w:val="24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Libre Franklin" w:cs="Libre Franklin" w:eastAsia="Libre Franklin" w:hAnsi="Libre Franklin"/>
      <w:b w:val="1"/>
      <w:bCs w:val="1"/>
      <w:color w:val="008890"/>
      <w:sz w:val="80"/>
      <w:szCs w:val="80"/>
    </w:rPr>
  </w:style>
  <w:style w:type="paragraph" w:styleId="Subtitle">
    <w:name w:val="Subtitle"/>
    <w:basedOn w:val="Normal"/>
    <w:next w:val="Normal"/>
    <w:pPr>
      <w:spacing w:after="480" w:line="240" w:lineRule="auto"/>
    </w:pPr>
    <w:rPr>
      <w:rFonts w:ascii="Libre Franklin" w:cs="Libre Franklin" w:eastAsia="Libre Franklin" w:hAnsi="Libre Franklin"/>
      <w:color w:val="7f7f7f"/>
      <w:sz w:val="44"/>
      <w:szCs w:val="4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tabnet.datasus.gov.br/tabdata/livroidb/2ed/indicadores.pdf" TargetMode="External"/><Relationship Id="rId10" Type="http://schemas.openxmlformats.org/officeDocument/2006/relationships/image" Target="media/image1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nwhWHq4Fibc+T52S7CB+wbeFrA==">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