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841" w:tblpY="10467"/>
        <w:tblW w:w="11076.0" w:type="dxa"/>
        <w:jc w:val="left"/>
        <w:tblLayout w:type="fixed"/>
        <w:tblLook w:val="04A0"/>
      </w:tblPr>
      <w:tblGrid>
        <w:gridCol w:w="11076"/>
        <w:tblGridChange w:id="0">
          <w:tblGrid>
            <w:gridCol w:w="11076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053138" cy="828675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1897950" y="3377938"/>
                                <a:ext cx="6896100" cy="804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80"/>
                                      <w:vertAlign w:val="baseline"/>
                                    </w:rPr>
                                    <w:t xml:space="preserve">Ficha de qualificação e requisitos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053138" cy="828675"/>
                      <wp:effectExtent b="0" l="0" r="0" t="0"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53138" cy="8286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5597525" cy="467962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2561525" y="3560307"/>
                                <a:ext cx="55689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Indicadores de Qualidade de Dados da RNDS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597525" cy="467962"/>
                      <wp:effectExtent b="0" l="0" r="0" t="0"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97525" cy="46796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024563" cy="466725"/>
                      <wp:effectExtent b="0" l="0" r="0" t="0"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2167825" y="3560307"/>
                                <a:ext cx="63563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2025 | Por: Meta 2 – Índice de qualidade de dados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024563" cy="466725"/>
                      <wp:effectExtent b="0" l="0" r="0" t="0"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24563" cy="4667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-1114420</wp:posOffset>
                </wp:positionH>
                <wp:positionV relativeFrom="paragraph">
                  <wp:posOffset>4410075</wp:posOffset>
                </wp:positionV>
                <wp:extent cx="7804785" cy="5362575"/>
                <wp:effectExtent b="0" l="0" r="0" t="0"/>
                <wp:wrapNone/>
                <wp:docPr descr="retângulo"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457895" y="1113000"/>
                          <a:ext cx="7776210" cy="5334000"/>
                        </a:xfrm>
                        <a:prstGeom prst="rect">
                          <a:avLst/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-1114420</wp:posOffset>
                </wp:positionH>
                <wp:positionV relativeFrom="paragraph">
                  <wp:posOffset>4410075</wp:posOffset>
                </wp:positionV>
                <wp:extent cx="7804785" cy="5362575"/>
                <wp:effectExtent b="0" l="0" r="0" t="0"/>
                <wp:wrapNone/>
                <wp:docPr descr="retângulo" id="6" name="image7.png"/>
                <a:graphic>
                  <a:graphicData uri="http://schemas.openxmlformats.org/drawingml/2006/picture">
                    <pic:pic>
                      <pic:nvPicPr>
                        <pic:cNvPr descr="retângulo"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4785" cy="536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-911220</wp:posOffset>
                </wp:positionH>
                <wp:positionV relativeFrom="paragraph">
                  <wp:posOffset>-962020</wp:posOffset>
                </wp:positionV>
                <wp:extent cx="7804785" cy="1203325"/>
                <wp:effectExtent b="0" l="0" r="0" t="0"/>
                <wp:wrapNone/>
                <wp:docPr descr="retângulo"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457895" y="3192625"/>
                          <a:ext cx="7776210" cy="1174750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-911220</wp:posOffset>
                </wp:positionH>
                <wp:positionV relativeFrom="paragraph">
                  <wp:posOffset>-962020</wp:posOffset>
                </wp:positionV>
                <wp:extent cx="7804785" cy="1203325"/>
                <wp:effectExtent b="0" l="0" r="0" t="0"/>
                <wp:wrapNone/>
                <wp:docPr descr="retângulo" id="7" name="image8.png"/>
                <a:graphic>
                  <a:graphicData uri="http://schemas.openxmlformats.org/drawingml/2006/picture">
                    <pic:pic>
                      <pic:nvPicPr>
                        <pic:cNvPr descr="retângulo"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4785" cy="1203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-914396</wp:posOffset>
            </wp:positionH>
            <wp:positionV relativeFrom="paragraph">
              <wp:posOffset>196850</wp:posOffset>
            </wp:positionV>
            <wp:extent cx="7549205" cy="4235450"/>
            <wp:effectExtent b="0" l="0" r="0" t="0"/>
            <wp:wrapSquare wrapText="bothSides" distB="0" distT="0" distL="114300" distR="114300"/>
            <wp:docPr descr="Interface gráfica do usuário, Site&#10;&#10;O conteúdo gerado por IA pode estar incorreto." id="8" name="image1.png"/>
            <a:graphic>
              <a:graphicData uri="http://schemas.openxmlformats.org/drawingml/2006/picture">
                <pic:pic>
                  <pic:nvPicPr>
                    <pic:cNvPr descr="Interface gráfica do usuário, Site&#10;&#10;O conteúdo gerado por IA pode estar incorreto.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9205" cy="423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bottom w:color="000000" w:space="1" w:sz="4" w:val="single"/>
        </w:pBd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QUALIFICAÇÃO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i021dqcmmitv – Tempo médio entre a data de atualização dos documentos públicos e a data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Conceituação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Mede o intervalo médio de tempo, em dias, decorrido desde a última atualização oficial dos documentos públicos (dicionários de dados, guias de implementação FHIR e manuais técnicos) de cada modelo informacional da RNDS até a data presente.</w:t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Interpretação</w:t>
      </w:r>
    </w:p>
    <w:p w:rsidR="00000000" w:rsidDel="00000000" w:rsidP="00000000" w:rsidRDefault="00000000" w:rsidRPr="00000000" w14:paraId="0000000E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Este indicador reflete a tempestividade e a manutenção do conhecimento técnico.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78.0000000000000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Valores Baixos:</w:t>
      </w:r>
      <w:r w:rsidDel="00000000" w:rsidR="00000000" w:rsidRPr="00000000">
        <w:rPr>
          <w:rtl w:val="0"/>
        </w:rPr>
        <w:t xml:space="preserve"> Indicam uma documentação "viva", frequentemente revisada e alinhada com as evoluções tecnológicas da RNDS.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78.0000000000000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Valores Altos:</w:t>
      </w:r>
      <w:r w:rsidDel="00000000" w:rsidR="00000000" w:rsidRPr="00000000">
        <w:rPr>
          <w:rtl w:val="0"/>
        </w:rPr>
        <w:t xml:space="preserve"> Sugerem obsolescência documental. Documentos muito antigos perdem a fidedignidade em relação ao que está efetivamente implementado no Datalake, aumentando o risco de erros nas integrações futuras.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Usos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="278.0000000000000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Avaliar a clareza metodológica e a transparência do ecossistema RNDS;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="278.0000000000000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Identificar modelos informacionais que necessitam de revisão documental urgente;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="278.0000000000000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Planejar ciclos de atualização para garantir que o setor de desenvolvimento (softwares de prontuário) tenha sempre a versão correta das regras de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Limitações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O indicador mede apenas o tempo decorrido, não a qualidade intrínseca ou a profundidade técnica do conteúdo atualizado. Depende de uma base de metadados confiável que registre a data exata da última publicação oficial de cada documento.</w:t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Fonte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Inventário de Metadados da RNDS e Repositórios de Documentação (Simplifier / GitLab / Portal RNDS).</w:t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</w:rPr>
      </w:pPr>
      <w:sdt>
        <w:sdtPr>
          <w:id w:val="-878027747"/>
          <w:tag w:val="goog_rdk_0"/>
        </w:sdtPr>
        <w:sdtContent>
          <w:commentRangeStart w:id="0"/>
        </w:sdtContent>
      </w:sdt>
      <w:sdt>
        <w:sdtPr>
          <w:id w:val="-582054561"/>
          <w:tag w:val="goog_rdk_1"/>
        </w:sdtPr>
        <w:sdtContent>
          <w:commentRangeStart w:id="1"/>
        </w:sdtContent>
      </w:sdt>
      <w:r w:rsidDel="00000000" w:rsidR="00000000" w:rsidRPr="00000000">
        <w:rPr>
          <w:b w:val="1"/>
          <w:bCs w:val="1"/>
          <w:rtl w:val="0"/>
        </w:rPr>
        <w:t xml:space="preserve">6. Método de Cálculo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Média aritmética da diferença em dias entre a data de atualização do documento público e a data da consulta atual.</w:t>
      </w:r>
    </w:p>
    <w:p w:rsidR="00000000" w:rsidDel="00000000" w:rsidP="00000000" w:rsidRDefault="00000000" w:rsidRPr="00000000" w14:paraId="0000001B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 = Σ (Data Atual – Data de Atualização do Documento referente ao MI) / Total de Documentos de MI Analisados.</w:t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Conversão: M% = (1 – M / 365) × 100; Admitindo-se que a tolerância máxima para que um documento esteja atualizado é de 365 dias entre a data de publicação em diário oficial e a data atual.</w:t>
      </w:r>
    </w:p>
    <w:p w:rsidR="00000000" w:rsidDel="00000000" w:rsidP="00000000" w:rsidRDefault="00000000" w:rsidRPr="00000000" w14:paraId="0000001D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Categorias sugeridas para análise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line="278.0000000000000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Unidade de análise (Modelo Informacional: RAC, RIA, CMD, REL, RPM,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line="278.0000000000000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Tipo de Documento (Dicionário de Variáveis, Profile FHIR, Manual do Usuário).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00" w:line="278.0000000000000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Período (trimestral, semestral, anual).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Referência</w:t>
      </w:r>
    </w:p>
    <w:p w:rsidR="00000000" w:rsidDel="00000000" w:rsidP="00000000" w:rsidRDefault="00000000" w:rsidRPr="00000000" w14:paraId="00000023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Modelo da Ficha de Qualificação de Indicadores (FQI). RIPSA – Rede Interagencial de Informações para a Saúde. Disponível em: https://www.ripsa.org.br/indicadores/fqi/. </w:t>
        <w:br w:type="textWrapping"/>
        <w:t xml:space="preserve">Modelo aplicado: </w:t>
      </w:r>
      <w:hyperlink r:id="rId11">
        <w:r w:rsidDel="00000000" w:rsidR="00000000" w:rsidRPr="00000000">
          <w:rPr>
            <w:rtl w:val="0"/>
          </w:rPr>
          <w:t xml:space="preserve">http://tabnet.datasus.gov.br/tabdata/livroidb/2ed/indicadores.pdf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4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Acesso em: 10 abr. 2025.</w:t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Layout w:type="fixed"/>
        <w:tblLook w:val="0400"/>
      </w:tblPr>
      <w:tblGrid>
        <w:gridCol w:w="2520"/>
        <w:gridCol w:w="6495"/>
        <w:tblGridChange w:id="0">
          <w:tblGrid>
            <w:gridCol w:w="2520"/>
            <w:gridCol w:w="64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FICHA DE REQUISITOS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 do Indicador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Tempo médio entre a data de atualização dos documentos públicos e a data atual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Descrição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Média dos dias decorridos entre a data da última disponibilização do documento público e a data de referência da auditoria.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Fórmula de Cálculo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(Redshift):</w:t>
            </w:r>
            <w:r w:rsidDel="00000000" w:rsidR="00000000" w:rsidRPr="00000000">
              <w:rPr>
                <w:rtl w:val="0"/>
              </w:rPr>
              <w:t xml:space="preserve"> SELECT AVG(DATEDIFF(day, dt_disponibilizacao_doc, CURRENT_DATE)) FROM meta_rnds_documentos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R:</w:t>
            </w:r>
            <w:r w:rsidDel="00000000" w:rsidR="00000000" w:rsidRPr="00000000">
              <w:rPr>
                <w:rtl w:val="0"/>
              </w:rPr>
              <w:t xml:space="preserve"> i024 &lt;- mean(as.numeric(Sys.Date() - df$dt_disponibilizacao_doc), na.rm = TRUE)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DAX:</w:t>
            </w:r>
            <w:r w:rsidDel="00000000" w:rsidR="00000000" w:rsidRPr="00000000">
              <w:rPr>
                <w:rtl w:val="0"/>
              </w:rPr>
              <w:t xml:space="preserve"> i024 = AVERAGEX(TabelaDocs, DATEDIFF(TabelaDocs[dt_disponibilizacao_doc], TODAY(), DAY))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Campos Necessários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id_modelo, nm_documento, dt_disponibilizacao_doc.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Tabelas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Tabela de Gestão de Documentos / Repositório de Metadados da RNDS.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Sistema de Origem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Governança RNDS (Transversal).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Período de Atualização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Mensal.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Regras de Negócio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Considerar apenas documentos classificados como "Públicos". Se um modelo possuir múltiplos documentos (ex: guia e dicionário), calcular a média individual de cada um para compor o índice do modelo.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Tipo de Dado Esperado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Valor numérico (Dias).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Desagregações Possíveis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Modelo Informacional, Por Tipo de Documento.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Validações Esperadas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Verificação de datas válidas (não nulas) e garantia de que a data de atualização não seja futura.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de Implantação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Abril de 2025.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Responsável 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Equipe ISC/UFBA na Meta 2</w:t>
            </w:r>
            <w:r w:rsidDel="00000000" w:rsidR="00000000" w:rsidRPr="00000000">
              <w:rPr>
                <w:rtl w:val="0"/>
              </w:rPr>
              <w:t xml:space="preserve"> – Composta por estatísticos e cientistas de dados.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Equipe do Ministério da Saúde</w:t>
            </w:r>
            <w:r w:rsidDel="00000000" w:rsidR="00000000" w:rsidRPr="00000000">
              <w:rPr>
                <w:rtl w:val="0"/>
              </w:rPr>
              <w:t xml:space="preserve"> – Responsável por informar as datas oficiais de publicação.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Fonte Complementar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Dicionário de dados da RNDS; GitLab CGISD/MS.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do indicador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sugerido: i024dqcmmitv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(i = indicador; 024 = ordem; dq = dimensão qualidade; cm = clareza metodológica; mi = modelo informacional; tv = transversal).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Versão da ficha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Versão 1.0 em 11.02.2026.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SOMMERVILLE, Ian. Engenharia de Software. 9ª ed. Pearson Prentice Hall, 2011. Organização conforme norma IEEE para requisitos (IEEE, 1998).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2" w:type="default"/>
      <w:footerReference r:id="rId13" w:type="even"/>
      <w:pgSz w:h="16838" w:w="11906" w:orient="portrait"/>
      <w:pgMar w:bottom="993" w:top="1134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eta2 Susdigital" w:id="0" w:date="2026-07-29T21:53:19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1 - REL ok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2 - RIA-R - ok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3 - RAC - ok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4 - RPM - ok mudou para REPM (Registro Eletrônico de Prescrição Médica)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5 - RDM - ok mudou para REDFM (Registro Eletrônico de dispensação e fornecimento de medicamento)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6 - CMD - ok CMD - Portaria GM/MS Nº 11.952, DE 13 DE julho DE 2026 (Esse foi repuplicado)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7 - SA (SUMÁRIO de ALTA)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8 - SAO (SUMÁRIO de ALTA OBSTÉTRICA)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9 - RIRA (Regulação) - ok Portaria RIRA - Portaria GM/MS nº 6.656, de 7 de março de 2025</w:t>
      </w:r>
    </w:p>
  </w:comment>
  <w:comment w:author="Meta2 Susdigital" w:id="1" w:date="2026-07-29T21:54:06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Trazer a data de publicação dos 7 modelos informacionais já publicados.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2" w15:done="0"/>
  <w15:commentEx w15:paraId="00000063" w15:paraIdParent="0000006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6873876</wp:posOffset>
              </wp:positionH>
              <wp:positionV relativeFrom="paragraph">
                <wp:posOffset>193676</wp:posOffset>
              </wp:positionV>
              <wp:extent cx="549275" cy="54927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6873876</wp:posOffset>
              </wp:positionH>
              <wp:positionV relativeFrom="paragraph">
                <wp:posOffset>193676</wp:posOffset>
              </wp:positionV>
              <wp:extent cx="549275" cy="549275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9275" cy="549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  <w:sz w:val="2"/>
        <w:szCs w:val="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6911976</wp:posOffset>
              </wp:positionH>
              <wp:positionV relativeFrom="paragraph">
                <wp:posOffset>206376</wp:posOffset>
              </wp:positionV>
              <wp:extent cx="549275" cy="54927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6911976</wp:posOffset>
              </wp:positionH>
              <wp:positionV relativeFrom="paragraph">
                <wp:posOffset>206376</wp:posOffset>
              </wp:positionV>
              <wp:extent cx="549275" cy="549275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9275" cy="549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40" w:before="300" w:line="240" w:lineRule="auto"/>
    </w:pPr>
    <w:rPr>
      <w:rFonts w:ascii="Libre Franklin" w:cs="Libre Franklin" w:eastAsia="Libre Franklin" w:hAnsi="Libre Franklin"/>
      <w:color w:val="00656b"/>
      <w:sz w:val="56"/>
      <w:szCs w:val="56"/>
    </w:rPr>
  </w:style>
  <w:style w:type="paragraph" w:styleId="Heading2">
    <w:name w:val="heading 2"/>
    <w:basedOn w:val="Normal"/>
    <w:next w:val="Normal"/>
    <w:pPr>
      <w:spacing w:after="40" w:before="240" w:line="240" w:lineRule="auto"/>
    </w:pPr>
    <w:rPr>
      <w:rFonts w:ascii="Libre Franklin" w:cs="Libre Franklin" w:eastAsia="Libre Franklin" w:hAnsi="Libre Franklin"/>
      <w:color w:val="595959"/>
      <w:sz w:val="44"/>
      <w:szCs w:val="44"/>
    </w:rPr>
  </w:style>
  <w:style w:type="paragraph" w:styleId="Heading3">
    <w:name w:val="heading 3"/>
    <w:basedOn w:val="Normal"/>
    <w:next w:val="Normal"/>
    <w:pPr>
      <w:spacing w:after="40" w:before="200" w:line="240" w:lineRule="auto"/>
    </w:pPr>
    <w:rPr>
      <w:rFonts w:ascii="Libre Franklin" w:cs="Libre Franklin" w:eastAsia="Libre Franklin" w:hAnsi="Libre Franklin"/>
      <w:color w:val="595959"/>
      <w:sz w:val="36"/>
      <w:szCs w:val="36"/>
    </w:rPr>
  </w:style>
  <w:style w:type="paragraph" w:styleId="Heading4">
    <w:name w:val="heading 4"/>
    <w:basedOn w:val="Normal"/>
    <w:next w:val="Normal"/>
    <w:pPr>
      <w:spacing w:after="0" w:before="240" w:lineRule="auto"/>
    </w:pPr>
    <w:rPr>
      <w:rFonts w:ascii="Arial Black" w:cs="Arial Black" w:eastAsia="Arial Black" w:hAnsi="Arial Black"/>
      <w:b w:val="1"/>
      <w:bCs w:val="1"/>
      <w:color w:val="8da523"/>
      <w:sz w:val="24"/>
      <w:szCs w:val="24"/>
    </w:rPr>
  </w:style>
  <w:style w:type="paragraph" w:styleId="Heading5">
    <w:name w:val="heading 5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b w:val="1"/>
      <w:bCs w:val="1"/>
      <w:i w:val="1"/>
      <w:iCs w:val="1"/>
      <w:color w:val="8da523"/>
    </w:rPr>
  </w:style>
  <w:style w:type="paragraph" w:styleId="Heading6">
    <w:name w:val="heading 6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color w:val="5d6d17"/>
      <w:sz w:val="24"/>
      <w:szCs w:val="24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Libre Franklin" w:cs="Libre Franklin" w:eastAsia="Libre Franklin" w:hAnsi="Libre Franklin"/>
      <w:b w:val="1"/>
      <w:bCs w:val="1"/>
      <w:color w:val="008890"/>
      <w:sz w:val="80"/>
      <w:szCs w:val="80"/>
    </w:rPr>
  </w:style>
  <w:style w:type="paragraph" w:styleId="Subtitle">
    <w:name w:val="Subtitle"/>
    <w:basedOn w:val="Normal"/>
    <w:next w:val="Normal"/>
    <w:pPr>
      <w:spacing w:after="480" w:line="240" w:lineRule="auto"/>
    </w:pPr>
    <w:rPr>
      <w:rFonts w:ascii="Libre Franklin" w:cs="Libre Franklin" w:eastAsia="Libre Franklin" w:hAnsi="Libre Franklin"/>
      <w:color w:val="7f7f7f"/>
      <w:sz w:val="44"/>
      <w:szCs w:val="4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tabnet.datasus.gov.br/tabdata/livroidb/2ed/indicadores.pdf" TargetMode="External"/><Relationship Id="rId10" Type="http://schemas.openxmlformats.org/officeDocument/2006/relationships/image" Target="media/image1.png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8fieuNfqndWv4lWxA4nSrCrMHQ==">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