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841" w:tblpY="10467"/>
        <w:tblW w:w="11076.0" w:type="dxa"/>
        <w:jc w:val="left"/>
        <w:tblLayout w:type="fixed"/>
        <w:tblLook w:val="04A0"/>
      </w:tblPr>
      <w:tblGrid>
        <w:gridCol w:w="11076"/>
        <w:tblGridChange w:id="0">
          <w:tblGrid>
            <w:gridCol w:w="11076"/>
          </w:tblGrid>
        </w:tblGridChange>
      </w:tblGrid>
      <w:tr>
        <w:trPr>
          <w:cantSplit w:val="0"/>
          <w:trHeight w:val="59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02">
            <w:pPr>
              <w:spacing w:after="20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</w:rPr>
              <mc:AlternateContent>
                <mc:Choice Requires="wpg">
                  <w:drawing>
                    <wp:inline distB="0" distT="0" distL="0" distR="0">
                      <wp:extent cx="6053138" cy="828675"/>
                      <wp:effectExtent b="0" l="0" r="0" t="0"/>
                      <wp:docPr id="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1897950" y="3377938"/>
                                <a:ext cx="6896100" cy="8041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ibre Franklin" w:cs="Libre Franklin" w:eastAsia="Libre Franklin" w:hAnsi="Libre Frankli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80"/>
                                      <w:vertAlign w:val="baseline"/>
                                    </w:rPr>
                                    <w:t xml:space="preserve">Ficha de qualificação e requisitos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6053138" cy="828675"/>
                      <wp:effectExtent b="0" l="0" r="0" t="0"/>
                      <wp:docPr id="2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053138" cy="8286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3">
            <w:pPr>
              <w:spacing w:after="20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</w:rPr>
              <mc:AlternateContent>
                <mc:Choice Requires="wpg">
                  <w:drawing>
                    <wp:inline distB="0" distT="0" distL="0" distR="0">
                      <wp:extent cx="5597525" cy="467962"/>
                      <wp:effectExtent b="0" l="0" r="0" t="0"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2561525" y="3560307"/>
                                <a:ext cx="5568950" cy="43938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48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ibre Franklin" w:cs="Libre Franklin" w:eastAsia="Libre Franklin" w:hAnsi="Libre Frankli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44"/>
                                      <w:vertAlign w:val="baseline"/>
                                    </w:rPr>
                                    <w:t xml:space="preserve">Indicadores de Qualidade de Dados da RNDS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5597525" cy="467962"/>
                      <wp:effectExtent b="0" l="0" r="0" t="0"/>
                      <wp:docPr id="1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597525" cy="46796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4">
            <w:pPr>
              <w:spacing w:after="20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</w:rPr>
              <mc:AlternateContent>
                <mc:Choice Requires="wpg">
                  <w:drawing>
                    <wp:inline distB="0" distT="0" distL="0" distR="0">
                      <wp:extent cx="6024563" cy="466725"/>
                      <wp:effectExtent b="0" l="0" r="0" t="0"/>
                      <wp:docPr id="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2167825" y="3560307"/>
                                <a:ext cx="6356350" cy="43938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48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ibre Franklin" w:cs="Libre Franklin" w:eastAsia="Libre Franklin" w:hAnsi="Libre Frankli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44"/>
                                      <w:vertAlign w:val="baseline"/>
                                    </w:rPr>
                                    <w:t xml:space="preserve">2025 | Por: Meta 2 – Índice de qualidade de dados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6024563" cy="466725"/>
                      <wp:effectExtent b="0" l="0" r="0" t="0"/>
                      <wp:docPr id="3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024563" cy="4667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-1114420</wp:posOffset>
                </wp:positionH>
                <wp:positionV relativeFrom="paragraph">
                  <wp:posOffset>4410075</wp:posOffset>
                </wp:positionV>
                <wp:extent cx="7804785" cy="5362575"/>
                <wp:effectExtent b="0" l="0" r="0" t="0"/>
                <wp:wrapNone/>
                <wp:docPr descr="retângulo"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1457895" y="1113000"/>
                          <a:ext cx="7776210" cy="5334000"/>
                        </a:xfrm>
                        <a:prstGeom prst="rect">
                          <a:avLst/>
                        </a:prstGeom>
                        <a:solidFill>
                          <a:srgbClr val="3F3F3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-1114420</wp:posOffset>
                </wp:positionH>
                <wp:positionV relativeFrom="paragraph">
                  <wp:posOffset>4410075</wp:posOffset>
                </wp:positionV>
                <wp:extent cx="7804785" cy="5362575"/>
                <wp:effectExtent b="0" l="0" r="0" t="0"/>
                <wp:wrapNone/>
                <wp:docPr descr="retângulo" id="6" name="image7.png"/>
                <a:graphic>
                  <a:graphicData uri="http://schemas.openxmlformats.org/drawingml/2006/picture">
                    <pic:pic>
                      <pic:nvPicPr>
                        <pic:cNvPr descr="retângulo"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04785" cy="5362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-911220</wp:posOffset>
                </wp:positionH>
                <wp:positionV relativeFrom="paragraph">
                  <wp:posOffset>-962020</wp:posOffset>
                </wp:positionV>
                <wp:extent cx="7804785" cy="1203325"/>
                <wp:effectExtent b="0" l="0" r="0" t="0"/>
                <wp:wrapNone/>
                <wp:docPr descr="retângulo"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1457895" y="3192625"/>
                          <a:ext cx="7776210" cy="1174750"/>
                        </a:xfrm>
                        <a:prstGeom prst="rect">
                          <a:avLst/>
                        </a:prstGeom>
                        <a:solidFill>
                          <a:srgbClr val="2F559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-911220</wp:posOffset>
                </wp:positionH>
                <wp:positionV relativeFrom="paragraph">
                  <wp:posOffset>-962020</wp:posOffset>
                </wp:positionV>
                <wp:extent cx="7804785" cy="1203325"/>
                <wp:effectExtent b="0" l="0" r="0" t="0"/>
                <wp:wrapNone/>
                <wp:docPr descr="retângulo" id="7" name="image8.png"/>
                <a:graphic>
                  <a:graphicData uri="http://schemas.openxmlformats.org/drawingml/2006/picture">
                    <pic:pic>
                      <pic:nvPicPr>
                        <pic:cNvPr descr="retângulo"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04785" cy="1203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-914396</wp:posOffset>
            </wp:positionH>
            <wp:positionV relativeFrom="paragraph">
              <wp:posOffset>196850</wp:posOffset>
            </wp:positionV>
            <wp:extent cx="7549205" cy="4235450"/>
            <wp:effectExtent b="0" l="0" r="0" t="0"/>
            <wp:wrapSquare wrapText="bothSides" distB="0" distT="0" distL="114300" distR="114300"/>
            <wp:docPr descr="Interface gráfica do usuário, Site&#10;&#10;O conteúdo gerado por IA pode estar incorreto." id="8" name="image1.png"/>
            <a:graphic>
              <a:graphicData uri="http://schemas.openxmlformats.org/drawingml/2006/picture">
                <pic:pic>
                  <pic:nvPicPr>
                    <pic:cNvPr descr="Interface gráfica do usuário, Site&#10;&#10;O conteúdo gerado por IA pode estar incorreto.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9205" cy="4235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000000" w:space="1" w:sz="4" w:val="single"/>
          <w:bottom w:color="000000" w:space="1" w:sz="4" w:val="single"/>
        </w:pBdr>
        <w:spacing w:after="20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FICHA DE QUALIFICAÇÃO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i022dqotmitv – Proporção de registros disponibilizados no mesmo dia que chegam na RNDS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Conceituação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Mede a proporção de registros integrados à RNDS que são processados e disponibilizados no Datalake para consulta e tabulação no mesmo dia civil de sua recepção pela plataforma.</w:t>
      </w:r>
    </w:p>
    <w:p w:rsidR="00000000" w:rsidDel="00000000" w:rsidP="00000000" w:rsidRDefault="00000000" w:rsidRPr="00000000" w14:paraId="0000000E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Interpretação</w:t>
      </w:r>
    </w:p>
    <w:p w:rsidR="00000000" w:rsidDel="00000000" w:rsidP="00000000" w:rsidRDefault="00000000" w:rsidRPr="00000000" w14:paraId="0000000F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Este indicador reflete a tempestividade e a eficiência técnica dos processos de ingestão e carga (ETL/ELT).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Valores Próximos a 100%: Indicam um fluxo de dados em "tempo real" ou "D+0", garantindo que a informação esteja disponível para o gestor quase instantaneamente após o envio pelo sistema de origem.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Valores Baixos: Indicam gargalos na infraestrutura de processamento da RNDS ou latência excessiva nas rotinas de atualização do Datalake.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Usos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Avaliar a oportunidade tecnológica da disponibilização dos dados nos modelos informacionais da RNDS;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Monitorar o desempenho da infraestrutura de dados do SUS Digital;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0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Subsidiar o planejamento de ações de vigilância que dependem de dados oportunos (ex: surtos epidemiológicos).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Limitações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Não avalia o tempo decorrido entre o evento clínico e o envio (atraso do sistema de origem), focando exclusivamente no processamento interno da rede. A análise sobre o tempo decorrido deve levar em consideração a influência de sistemas externos.</w:t>
      </w:r>
    </w:p>
    <w:p w:rsidR="00000000" w:rsidDel="00000000" w:rsidP="00000000" w:rsidRDefault="00000000" w:rsidRPr="00000000" w14:paraId="00000018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Fonte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Todos os Modelos Informacionais da RNDS (Transversal).</w:t>
      </w:r>
    </w:p>
    <w:p w:rsidR="00000000" w:rsidDel="00000000" w:rsidP="00000000" w:rsidRDefault="00000000" w:rsidRPr="00000000" w14:paraId="0000001A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Método de Cálculo</w:t>
      </w:r>
    </w:p>
    <w:p w:rsidR="00000000" w:rsidDel="00000000" w:rsidP="00000000" w:rsidRDefault="00000000" w:rsidRPr="00000000" w14:paraId="0000001B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(Número de registros disponibilizados no mesmo dia (dt_entrada_RNDS = dt_entrada_datalake / Total de registros recepcionados) * 100</w:t>
      </w:r>
    </w:p>
    <w:p w:rsidR="00000000" w:rsidDel="00000000" w:rsidP="00000000" w:rsidRDefault="00000000" w:rsidRPr="00000000" w14:paraId="0000001C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Categorias sugeridas para análise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Unidade geográfica (Região, UF, município).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Unidade de análise (Modelo Informacional: RAC, RIA, CMD, REL, RPM).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0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Período (diário, semanal, mensal).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Referência</w:t>
      </w:r>
    </w:p>
    <w:p w:rsidR="00000000" w:rsidDel="00000000" w:rsidP="00000000" w:rsidRDefault="00000000" w:rsidRPr="00000000" w14:paraId="00000021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Modelo da Ficha de Qualificação de Indicadores (FQI). RIPSA – Rede Interagencial de Informações para a Saúde. Disponível em: https://www.ripsa.org.br/indicadores/fqi/. </w:t>
        <w:br w:type="textWrapping"/>
        <w:t xml:space="preserve">Modelo aplicado: </w:t>
      </w:r>
      <w:hyperlink r:id="rId9">
        <w:r w:rsidDel="00000000" w:rsidR="00000000" w:rsidRPr="00000000">
          <w:rPr>
            <w:rtl w:val="0"/>
          </w:rPr>
          <w:t xml:space="preserve">http://tabnet.datasus.gov.br/tabdata/livroidb/2ed/indicadores.pdf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2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Acesso em: 10 abr. 2025.</w:t>
      </w:r>
    </w:p>
    <w:p w:rsidR="00000000" w:rsidDel="00000000" w:rsidP="00000000" w:rsidRDefault="00000000" w:rsidRPr="00000000" w14:paraId="00000023">
      <w:pPr>
        <w:spacing w:after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255.0" w:type="dxa"/>
        <w:jc w:val="left"/>
        <w:tblLayout w:type="fixed"/>
        <w:tblLook w:val="0400"/>
      </w:tblPr>
      <w:tblGrid>
        <w:gridCol w:w="2325"/>
        <w:gridCol w:w="6930"/>
        <w:tblGridChange w:id="0">
          <w:tblGrid>
            <w:gridCol w:w="2325"/>
            <w:gridCol w:w="693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FICHA DE REQUISITOS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Nome do Indicador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Proporção de registros disponibilizados no mesmo dia que chegam na RNDS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Descrição Técnica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Percentual de registros cujo intervalo entre a data de recepção pela RNDS e a data de carga no Datalake é igual a zero dias.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Fórmula de Cálculo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SQL (Redshift): (COUNT(*) FILTER (WHERE CAST(dt_entrada_rnds AS DATE) = CAST(dt_entrada_datalake AS DATE)) / COUNT(*)) * 100</w:t>
            </w:r>
          </w:p>
          <w:p w:rsidR="00000000" w:rsidDel="00000000" w:rsidP="00000000" w:rsidRDefault="00000000" w:rsidRPr="00000000" w14:paraId="0000002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R: i026 &lt;- mean(as.Date(df$dt_entrada_rnds) == as.Date(df$dt_entrada_datalake), na.rm=T) * 100</w:t>
            </w:r>
          </w:p>
          <w:p w:rsidR="00000000" w:rsidDel="00000000" w:rsidP="00000000" w:rsidRDefault="00000000" w:rsidRPr="00000000" w14:paraId="0000003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DAX: i026 = DIVIDE(CALCULATE(COUNTROWS(Tabela), Tabela[dt_entrada_rnds].Date = Tabela[dt_entrada_datalake].Date), COUNTROWS(Tabela)) * 100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Campos Necessários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dt_entrada_rnds, dt_entrada_datalake, st_documento_rnds.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Tabelas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Tabela enriquecida da RNDS (Datalake).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Sistema de Origem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Todos da RNDS (Transversal).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Período de Atualização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Diário ou Mensal.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Regras de Negócio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Considerar apenas registros com status = 'final'. A comparação deve ser feita sobre o campo de data truncado (ignorando as horas) para identificar o dia civil.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Tipo de Dado Esperado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Percentual (0 a 100).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Desagregações Possíveis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UF, Município, Estabelecimento de Saúde, Modelo Informacional.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Validações Esperadas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Verificação de integridade: dt_entrada_datalake deve ser igual ou posterior à dt_entrada_rnds.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Data de Implantação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Abril de 2025.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Responsável Técnico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Equipe ISC/UFBA na Meta 2 – Composta por estatísticos e cientistas de dados responsáveis pelo BI.</w:t>
            </w:r>
          </w:p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Equipe do Ministério da Saúde – Responsável pela validação técnica dos processos de carga.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Fonte Complementar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Dicionário de dados da RNDS; Logs de processamento do barramento.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Referência do indicador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 sugerido: i026dqotmitv</w:t>
            </w:r>
          </w:p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(i = indicador; 026 = ordem; dq = dimensão de qualidade; ot = oportunidade; tv = transversal).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Versão da ficha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Versão 1.0 em 11.02.2026.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Referência Técnica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SOMMERVILLE, Ian. Engenharia de Software. 9ª ed. Pearson Prentice Hall, 2011. Organização conforme norma IEEE para requisitos (IEEE, 1998).</w:t>
            </w:r>
          </w:p>
        </w:tc>
      </w:tr>
    </w:tbl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footerReference r:id="rId10" w:type="default"/>
      <w:footerReference r:id="rId11" w:type="even"/>
      <w:pgSz w:h="16838" w:w="11906" w:orient="portrait"/>
      <w:pgMar w:bottom="993" w:top="1134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Libre Frankl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Arial Black">
    <w:embedRegular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6873876</wp:posOffset>
              </wp:positionH>
              <wp:positionV relativeFrom="paragraph">
                <wp:posOffset>193676</wp:posOffset>
              </wp:positionV>
              <wp:extent cx="549275" cy="54927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5085650" y="3519650"/>
                        <a:ext cx="520700" cy="520700"/>
                      </a:xfrm>
                      <a:prstGeom prst="roundRect">
                        <a:avLst>
                          <a:gd fmla="val 16667" name="adj"/>
                        </a:avLst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4448"/>
                              <w:sz w:val="36"/>
                              <w:vertAlign w:val="baseline"/>
                            </w:rPr>
                            <w:t xml:space="preserve"> PAGE  \* Arabic  \* MERGEFORMAT 1</w:t>
                          </w:r>
                        </w:p>
                      </w:txbxContent>
                    </wps:txbx>
                    <wps:bodyPr anchorCtr="0" anchor="ctr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6873876</wp:posOffset>
              </wp:positionH>
              <wp:positionV relativeFrom="paragraph">
                <wp:posOffset>193676</wp:posOffset>
              </wp:positionV>
              <wp:extent cx="549275" cy="549275"/>
              <wp:effectExtent b="0" l="0" r="0" t="0"/>
              <wp:wrapNone/>
              <wp:docPr id="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9275" cy="5492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5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  <w:sz w:val="2"/>
        <w:szCs w:val="2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6911976</wp:posOffset>
              </wp:positionH>
              <wp:positionV relativeFrom="paragraph">
                <wp:posOffset>206376</wp:posOffset>
              </wp:positionV>
              <wp:extent cx="549275" cy="549275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5085650" y="3519650"/>
                        <a:ext cx="520700" cy="520700"/>
                      </a:xfrm>
                      <a:prstGeom prst="roundRect">
                        <a:avLst>
                          <a:gd fmla="val 16667" name="adj"/>
                        </a:avLst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4448"/>
                              <w:sz w:val="36"/>
                              <w:vertAlign w:val="baseline"/>
                            </w:rPr>
                            <w:t xml:space="preserve"> PAGE  \* Arabic  \* MERGEFORMAT 1</w:t>
                          </w:r>
                        </w:p>
                      </w:txbxContent>
                    </wps:txbx>
                    <wps:bodyPr anchorCtr="0" anchor="ctr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6911976</wp:posOffset>
              </wp:positionH>
              <wp:positionV relativeFrom="paragraph">
                <wp:posOffset>206376</wp:posOffset>
              </wp:positionV>
              <wp:extent cx="549275" cy="549275"/>
              <wp:effectExtent b="0" l="0" r="0" t="0"/>
              <wp:wrapNone/>
              <wp:docPr id="5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9275" cy="5492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_BR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40" w:before="300" w:line="240" w:lineRule="auto"/>
    </w:pPr>
    <w:rPr>
      <w:rFonts w:ascii="Libre Franklin" w:cs="Libre Franklin" w:eastAsia="Libre Franklin" w:hAnsi="Libre Franklin"/>
      <w:color w:val="00656b"/>
      <w:sz w:val="56"/>
      <w:szCs w:val="56"/>
    </w:rPr>
  </w:style>
  <w:style w:type="paragraph" w:styleId="Heading2">
    <w:name w:val="heading 2"/>
    <w:basedOn w:val="Normal"/>
    <w:next w:val="Normal"/>
    <w:pPr>
      <w:spacing w:after="40" w:before="240" w:line="240" w:lineRule="auto"/>
    </w:pPr>
    <w:rPr>
      <w:rFonts w:ascii="Libre Franklin" w:cs="Libre Franklin" w:eastAsia="Libre Franklin" w:hAnsi="Libre Franklin"/>
      <w:color w:val="595959"/>
      <w:sz w:val="44"/>
      <w:szCs w:val="44"/>
    </w:rPr>
  </w:style>
  <w:style w:type="paragraph" w:styleId="Heading3">
    <w:name w:val="heading 3"/>
    <w:basedOn w:val="Normal"/>
    <w:next w:val="Normal"/>
    <w:pPr>
      <w:spacing w:after="40" w:before="200" w:line="240" w:lineRule="auto"/>
    </w:pPr>
    <w:rPr>
      <w:rFonts w:ascii="Libre Franklin" w:cs="Libre Franklin" w:eastAsia="Libre Franklin" w:hAnsi="Libre Franklin"/>
      <w:color w:val="595959"/>
      <w:sz w:val="36"/>
      <w:szCs w:val="36"/>
    </w:rPr>
  </w:style>
  <w:style w:type="paragraph" w:styleId="Heading4">
    <w:name w:val="heading 4"/>
    <w:basedOn w:val="Normal"/>
    <w:next w:val="Normal"/>
    <w:pPr>
      <w:spacing w:after="0" w:before="240" w:lineRule="auto"/>
    </w:pPr>
    <w:rPr>
      <w:rFonts w:ascii="Arial Black" w:cs="Arial Black" w:eastAsia="Arial Black" w:hAnsi="Arial Black"/>
      <w:b w:val="1"/>
      <w:bCs w:val="1"/>
      <w:color w:val="8da523"/>
      <w:sz w:val="24"/>
      <w:szCs w:val="24"/>
    </w:rPr>
  </w:style>
  <w:style w:type="paragraph" w:styleId="Heading5">
    <w:name w:val="heading 5"/>
    <w:basedOn w:val="Normal"/>
    <w:next w:val="Normal"/>
    <w:pPr>
      <w:spacing w:after="0" w:before="200" w:lineRule="auto"/>
    </w:pPr>
    <w:rPr>
      <w:rFonts w:ascii="Arial Black" w:cs="Arial Black" w:eastAsia="Arial Black" w:hAnsi="Arial Black"/>
      <w:b w:val="1"/>
      <w:bCs w:val="1"/>
      <w:i w:val="1"/>
      <w:iCs w:val="1"/>
      <w:color w:val="8da523"/>
    </w:rPr>
  </w:style>
  <w:style w:type="paragraph" w:styleId="Heading6">
    <w:name w:val="heading 6"/>
    <w:basedOn w:val="Normal"/>
    <w:next w:val="Normal"/>
    <w:pPr>
      <w:spacing w:after="0" w:before="200" w:lineRule="auto"/>
    </w:pPr>
    <w:rPr>
      <w:rFonts w:ascii="Arial Black" w:cs="Arial Black" w:eastAsia="Arial Black" w:hAnsi="Arial Black"/>
      <w:color w:val="5d6d17"/>
      <w:sz w:val="24"/>
      <w:szCs w:val="24"/>
    </w:rPr>
  </w:style>
  <w:style w:type="paragraph" w:styleId="Title">
    <w:name w:val="Title"/>
    <w:basedOn w:val="Normal"/>
    <w:next w:val="Normal"/>
    <w:pPr>
      <w:spacing w:line="240" w:lineRule="auto"/>
    </w:pPr>
    <w:rPr>
      <w:rFonts w:ascii="Libre Franklin" w:cs="Libre Franklin" w:eastAsia="Libre Franklin" w:hAnsi="Libre Franklin"/>
      <w:b w:val="1"/>
      <w:bCs w:val="1"/>
      <w:color w:val="008890"/>
      <w:sz w:val="80"/>
      <w:szCs w:val="80"/>
    </w:rPr>
  </w:style>
  <w:style w:type="paragraph" w:styleId="Subtitle">
    <w:name w:val="Subtitle"/>
    <w:basedOn w:val="Normal"/>
    <w:next w:val="Normal"/>
    <w:pPr>
      <w:spacing w:after="480" w:line="240" w:lineRule="auto"/>
    </w:pPr>
    <w:rPr>
      <w:rFonts w:ascii="Libre Franklin" w:cs="Libre Franklin" w:eastAsia="Libre Franklin" w:hAnsi="Libre Franklin"/>
      <w:color w:val="7f7f7f"/>
      <w:sz w:val="44"/>
      <w:szCs w:val="4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yperlink" Target="http://tabnet.datasus.gov.br/tabdata/livroidb/2ed/indicadores.pdf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breFranklin-regular.ttf"/><Relationship Id="rId2" Type="http://schemas.openxmlformats.org/officeDocument/2006/relationships/font" Target="fonts/LibreFranklin-bold.ttf"/><Relationship Id="rId3" Type="http://schemas.openxmlformats.org/officeDocument/2006/relationships/font" Target="fonts/LibreFranklin-italic.ttf"/><Relationship Id="rId4" Type="http://schemas.openxmlformats.org/officeDocument/2006/relationships/font" Target="fonts/LibreFranklin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ArialBlack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Lj41b8KxjmYJLIBLRbkX9TxkBw==">CgMxLjA4AHIhMWdnMWQ4THRTaER3VTA0NFBocVlTSkJSMDg2TjByRFZG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