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986463" cy="847725"/>
                      <wp:effectExtent b="0" l="0" r="0" t="0"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986463" cy="847725"/>
                      <wp:effectExtent b="0" l="0" r="0" t="0"/>
                      <wp:docPr id="1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86463" cy="847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616575" cy="487012"/>
                      <wp:effectExtent b="0" l="0" r="0" t="0"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16575" cy="487012"/>
                      <wp:effectExtent b="0" l="0" r="0" t="0"/>
                      <wp:docPr id="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16575" cy="4870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403975" cy="487012"/>
                      <wp:effectExtent b="0" l="0" r="0" t="0"/>
                      <wp:docPr id="1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403975" cy="487012"/>
                      <wp:effectExtent b="0" l="0" r="0" t="0"/>
                      <wp:docPr id="1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03975" cy="4870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-1119181</wp:posOffset>
                </wp:positionH>
                <wp:positionV relativeFrom="paragraph">
                  <wp:posOffset>4392613</wp:posOffset>
                </wp:positionV>
                <wp:extent cx="7823835" cy="5381625"/>
                <wp:effectExtent b="0" l="0" r="0" t="0"/>
                <wp:wrapNone/>
                <wp:docPr descr="retângulo" id="1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-1119181</wp:posOffset>
                </wp:positionH>
                <wp:positionV relativeFrom="paragraph">
                  <wp:posOffset>4392613</wp:posOffset>
                </wp:positionV>
                <wp:extent cx="7823835" cy="5381625"/>
                <wp:effectExtent b="0" l="0" r="0" t="0"/>
                <wp:wrapNone/>
                <wp:docPr descr="retângulo" id="14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3835" cy="538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-915981</wp:posOffset>
                </wp:positionH>
                <wp:positionV relativeFrom="paragraph">
                  <wp:posOffset>-966781</wp:posOffset>
                </wp:positionV>
                <wp:extent cx="7823835" cy="1222375"/>
                <wp:effectExtent b="0" l="0" r="0" t="0"/>
                <wp:wrapNone/>
                <wp:docPr descr="retângulo" id="1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-915981</wp:posOffset>
                </wp:positionH>
                <wp:positionV relativeFrom="paragraph">
                  <wp:posOffset>-966781</wp:posOffset>
                </wp:positionV>
                <wp:extent cx="7823835" cy="1222375"/>
                <wp:effectExtent b="0" l="0" r="0" t="0"/>
                <wp:wrapNone/>
                <wp:docPr descr="retângulo" id="15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3835" cy="1222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-914394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16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i018dqctmitv – Proporção de registros com idade maior que 130 anos.</w:t>
      </w:r>
    </w:p>
    <w:p w:rsidR="00000000" w:rsidDel="00000000" w:rsidP="00000000" w:rsidRDefault="00000000" w:rsidRPr="00000000" w14:paraId="0000000A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B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Mede a proporção de registros integrados à RNDS que apresentam consistência cronológica e plausibilidade biológica, considerando como válidos os registros em que a idade calculada do paciente (diferença entre a data do evento e a data de nascimento) é inferior a 130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Valores Altos (próximos a 100%): Indicam alta consistência dos dados, boa qualidade nos sistemas de origem e aplicação eficiente de regras de validação que bloqueiam idades biologicamente impossíveis.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Valores Baixos: Indicam falhas críticas nos sistemas que alimentam a RNDS, como a ausência de travas de digitação para o ano de nascimento (ex: preenchimento incorreto gerando idades absurdas) ou erros no processo de integração e mapeamento de dados.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Monitorar a qualidade da consistência cadastral dos dados inseridos na RNDS;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quais sistemas de informação ou estabelecimentos de saúde apresentam falhas de validação nos campos de data;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Garantir o saneamento da base de dados para subsidiar análises epidemiológicas confiáveis por ciclo de vida e faixa etária;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Apoiar a qualificação do Cadastro Nacional de Usuários do SUS (CADSUS).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O indicador afere a consistência macro (identificando extremos acima de 130 anos), mas não detecta erros de digitação de datas dentro de margens plausíveis (ex: um paciente de 25 anos registrado como 65 anos). Ele também não discrimina, isoladamente, qual das duas datas (nascimento ou evento) foi preenchida incorretamente.</w:t>
      </w:r>
    </w:p>
    <w:p w:rsidR="00000000" w:rsidDel="00000000" w:rsidP="00000000" w:rsidRDefault="00000000" w:rsidRPr="00000000" w14:paraId="0000001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8">
      <w:pPr>
        <w:spacing w:after="200" w:before="20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Todos os Modelos Informacionais da RNDS (Transversal).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(Número de registros com idade menor que 130 / Total de registros) * 100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Unidade geográfica (Região, UF, Município).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Informacional (RAC, RIA, CMD, REL, RPM).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Faixa Etária detectada (para identificar o tipo de erro: futuro ou passado remoto).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9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4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10.0" w:type="dxa"/>
        <w:jc w:val="left"/>
        <w:tblLayout w:type="fixed"/>
        <w:tblLook w:val="0400"/>
      </w:tblPr>
      <w:tblGrid>
        <w:gridCol w:w="2190"/>
        <w:gridCol w:w="6820"/>
        <w:tblGridChange w:id="0">
          <w:tblGrid>
            <w:gridCol w:w="2190"/>
            <w:gridCol w:w="68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Nome do 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Percentual de registros da RNDS com idade consistente (menor que 130 anos)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Descrição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Percentual de registros onde a idade calculada do paciente é biologicamente plausível e cronologicamente correta, ou seja, \(dt\_evento \ge dt\_nascimento\) (idade não negativa) e \(idade\_calculada &lt; 130\) 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Fórmula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SQL (Redshift):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ourier New" w:cs="Courier New" w:eastAsia="Courier New" w:hAnsi="Courier New"/>
                <w:color w:val="18803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(COUNT(*) FILTER (WHERE dt_nascimento &lt;= dt_evento AND DATEDIFF(year, dt_nascimento, dt_evento) &lt; 130) / COUNT(*)) * 100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i018 &lt;- mean(df$dt_nasc &lt;= df$dt_evt &amp; (as.numeric(difftime(df$dt_evt, df$dt_nasc, units="days"))/365.25) &lt; 130, na.rm = TRUE)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Campos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dt_nascimento_paciente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dt_atendimento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(ou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dt_evento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st_documento_rnds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Tabelas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Tabela enriquecida da RNDS (Datalake).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Sistema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Todos da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Período de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Considerar apenas registros com status = 'final'. A idade de 130 anos é adotada como limite superior de plausibilidade biológica extrema. Idade negativa é classificada como erro de cronologia e desconsiderada do numerador de consistência.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Tipo de Dado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Desagregações Possíveis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UF, Município, Modelo Informacional, Sistema de Informação.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Validações Esperadas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Verificação de integridade e consistência cronológica entre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dt_nascimento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dt_evento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Data de 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Agosto de 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Responsável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Equipe ISC/UFBA na Meta 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Composta por estatísticos, sanitaristas e cientistas de dados.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Equipe do Ministério da Saúde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Responsável pela validação dos requisitos e bases cadastrais.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Fonte Complementar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Dicionário de dados da RNDS; Manuais de validação do CADSUS.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Referência do 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Código sugerido: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i024dqctmitv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(i = indicador; 018 = ordem alinhada à ficha; dq = dimensão qualidade; ct = consistência; tv = transversal).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Versão da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dcdfe5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fe5" w:space="0" w:sz="5" w:val="single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Referência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5" w:val="single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SOMMERVILLE, Ian. Engenharia de Software. 9ª ed. Pearson Prentice Hall, 2011. Organização conforme normas da ABNT e IEEE 1998.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6856413</wp:posOffset>
              </wp:positionH>
              <wp:positionV relativeFrom="paragraph">
                <wp:posOffset>176213</wp:posOffset>
              </wp:positionV>
              <wp:extent cx="568325" cy="56832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6856413</wp:posOffset>
              </wp:positionH>
              <wp:positionV relativeFrom="paragraph">
                <wp:posOffset>176213</wp:posOffset>
              </wp:positionV>
              <wp:extent cx="568325" cy="568325"/>
              <wp:effectExtent b="0" l="0" r="0" t="0"/>
              <wp:wrapNone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325" cy="568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6894513</wp:posOffset>
              </wp:positionH>
              <wp:positionV relativeFrom="paragraph">
                <wp:posOffset>188913</wp:posOffset>
              </wp:positionV>
              <wp:extent cx="568325" cy="56832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6894513</wp:posOffset>
              </wp:positionH>
              <wp:positionV relativeFrom="paragraph">
                <wp:posOffset>188913</wp:posOffset>
              </wp:positionV>
              <wp:extent cx="568325" cy="568325"/>
              <wp:effectExtent b="0" l="0" r="0" t="0"/>
              <wp:wrapNone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325" cy="568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://tabnet.datasus.gov.br/tabdata/livroidb/2ed/indicadore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xSYiEKN7xMHvcVI81pCiSZ+Rg==">CgMxLjA4AHIhMVN0aEFUUUZ2dUNkTWtXYzlUQWh5YVNGWTFMMEZyRUJL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