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40A" w:sz="20"/>
              <w:left w:val="nil"/>
              <w:bottom w:val="single" w:color="C8940A" w:sz="20"/>
              <w:right w:val="nil"/>
            </w:tcBorders>
            <w:shd w:fill="17385A" w:val="clear"/>
            <w:tcMar>
              <w:top w:type="dxa" w:w="300"/>
              <w:left w:type="dxa" w:w="360"/>
              <w:bottom w:type="dxa" w:w="300"/>
              <w:right w:type="dxa" w:w="360"/>
            </w:tcMar>
          </w:tcPr>
          <w:p>
            <w:pPr>
              <w:spacing w:after="60" w:before="0"/>
            </w:pPr>
            <w:r>
              <w:rPr>
                <w:rFonts w:ascii="Calibri" w:cs="Calibri" w:eastAsia="Calibri" w:hAnsi="Calibri"/>
                <w:b/>
                <w:bCs/>
                <w:color w:val="C8940A"/>
                <w:sz w:val="18"/>
                <w:szCs w:val="18"/>
              </w:rPr>
              <w:t xml:space="preserve">EXECUTIVE SUMMARY</w:t>
            </w:r>
          </w:p>
          <w:p>
            <w:pPr>
              <w:spacing w:after="80" w:before="0"/>
            </w:pPr>
            <w:r>
              <w:rPr>
                <w:rFonts w:ascii="Calibri" w:cs="Calibri" w:eastAsia="Calibri" w:hAnsi="Calibri"/>
                <w:b/>
                <w:bCs/>
                <w:color w:val="FFFFFF"/>
                <w:sz w:val="38"/>
                <w:szCs w:val="38"/>
              </w:rPr>
              <w:t xml:space="preserve">Spelling &amp; Reading Transfer Activities</w:t>
            </w:r>
          </w:p>
          <w:p>
            <w:pPr>
              <w:spacing w:after="0" w:before="0"/>
            </w:pPr>
            <w:r>
              <w:rPr>
                <w:rFonts w:ascii="Calibri" w:cs="Calibri" w:eastAsia="Calibri" w:hAnsi="Calibri"/>
                <w:color w:val="8BB4CC"/>
                <w:sz w:val="19"/>
                <w:szCs w:val="19"/>
              </w:rPr>
              <w:t xml:space="preserve">ECP6 Phonics AI Solution Development  ·  POLY ESC + FT AI R&amp;D</w:t>
            </w:r>
          </w:p>
        </w:tc>
      </w:tr>
    </w:tbl>
    <w:p>
      <w:pPr>
        <w:spacing w:after="0" w:before="160"/>
      </w:pPr>
    </w:p>
    <w:p>
      <w:pPr>
        <w:spacing w:after="60" w:before="60" w:line="268"/>
        <w:jc w:val="both"/>
      </w:pPr>
      <w:r>
        <w:rPr>
          <w:rFonts w:ascii="Calibri" w:cs="Calibri" w:eastAsia="Calibri" w:hAnsi="Calibri"/>
          <w:color w:val="1F2D3A"/>
          <w:sz w:val="21"/>
          <w:szCs w:val="21"/>
        </w:rPr>
        <w:t xml:space="preserve">The core goal of these activities is not just to help students perform a phonics skill once in isolation. The goal is transfer: students should be able to take a taught sound-symbol pattern and use it independently in real reading and spelling tasks.</w:t>
      </w:r>
    </w:p>
    <w:p>
      <w:pPr>
        <w:spacing w:after="60" w:before="60" w:line="268"/>
        <w:jc w:val="both"/>
      </w:pPr>
      <w:r>
        <w:rPr>
          <w:rFonts w:ascii="Calibri" w:cs="Calibri" w:eastAsia="Calibri" w:hAnsi="Calibri"/>
          <w:color w:val="1F2D3A"/>
          <w:sz w:val="21"/>
          <w:szCs w:val="21"/>
        </w:rPr>
        <w:t xml:space="preserve">Reading transfer means moving from decoding a word accurately to using that skill in phrases and sentences. Spelling transfer means moving from hearing and analyzing sounds to building and spelling the word correctly, then using that word accurately in sentence-level tasks.</w:t>
      </w:r>
    </w:p>
    <w:p>
      <w:pPr>
        <w:spacing w:after="60" w:before="60" w:line="268"/>
        <w:jc w:val="both"/>
      </w:pPr>
      <w:r>
        <w:rPr>
          <w:rFonts w:ascii="Calibri" w:cs="Calibri" w:eastAsia="Calibri" w:hAnsi="Calibri"/>
          <w:color w:val="1F2D3A"/>
          <w:sz w:val="21"/>
          <w:szCs w:val="21"/>
        </w:rPr>
        <w:t xml:space="preserve">This distinction matters because many early learners — especially Korean EFL learners — can appear successful during imitation but still fail when the task changes. A student may repeat a word after the teacher, recognize it from memory, or guess it from context, but still not have stable phoneme-level control. These activities are designed to expose and strengthen real transfer by requiring students to carry the same target pattern across multiple stages.</w:t>
      </w:r>
    </w:p>
    <w:p>
      <w:pPr>
        <w:spacing w:after="0" w:before="120"/>
      </w:pPr>
    </w:p>
    <w:p>
      <w:pPr>
        <w:pBdr>
          <w:bottom w:val="single" w:color="C8940A" w:sz="6" w:space="3"/>
        </w:pBdr>
        <w:spacing w:after="60" w:before="200"/>
      </w:pPr>
      <w:r>
        <w:rPr>
          <w:rFonts w:ascii="Calibri" w:cs="Calibri" w:eastAsia="Calibri" w:hAnsi="Calibri"/>
          <w:b/>
          <w:bCs/>
          <w:color w:val="17385A"/>
          <w:sz w:val="24"/>
          <w:szCs w:val="24"/>
        </w:rPr>
        <w:t xml:space="preserve">What Transfer Means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6FB0" w:sz="4"/>
              <w:left w:val="single" w:color="2A6FB0" w:sz="4"/>
              <w:bottom w:val="single" w:color="2A6FB0" w:sz="4"/>
              <w:right w:val="single" w:color="2A6FB0" w:sz="4"/>
            </w:tcBorders>
            <w:shd w:fill="EEF5FB" w:val="clear"/>
            <w:tcMar>
              <w:top w:type="dxa" w:w="120"/>
              <w:left w:type="dxa" w:w="180"/>
              <w:bottom w:type="dxa" w:w="120"/>
              <w:right w:type="dxa" w:w="180"/>
            </w:tcMar>
          </w:tcPr>
          <w:p>
            <w:pPr>
              <w:spacing w:after="40" w:before="0"/>
            </w:pPr>
            <w:r>
              <w:rPr>
                <w:rFonts w:ascii="Calibri" w:cs="Calibri" w:eastAsia="Calibri" w:hAnsi="Calibri"/>
                <w:b/>
                <w:bCs/>
                <w:color w:val="17385A"/>
                <w:sz w:val="21"/>
                <w:szCs w:val="21"/>
              </w:rPr>
              <w:t xml:space="preserve">Reading Transfer</w:t>
            </w:r>
          </w:p>
          <w:p>
            <w:pPr>
              <w:jc w:val="both"/>
            </w:pPr>
            <w:r>
              <w:rPr>
                <w:rFonts w:ascii="Calibri" w:cs="Calibri" w:eastAsia="Calibri" w:hAnsi="Calibri"/>
                <w:color w:val="1F2D3A"/>
                <w:sz w:val="20"/>
                <w:szCs w:val="20"/>
              </w:rPr>
              <w:t xml:space="preserve">The ability to apply a phonics pattern beyond isolated word recognition. A student first decodes a target word, then reads that word inside a short phrase, and finally processes it inside a full sentence with meaning. True reading development is not complete at the word level — students need to connect decoding to fluency, syntax, and comprehension. The progression is word → phrase → sentence.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6FB0" w:sz="4"/>
              <w:left w:val="single" w:color="2A6FB0" w:sz="4"/>
              <w:bottom w:val="single" w:color="2A6FB0" w:sz="4"/>
              <w:right w:val="single" w:color="2A6FB0" w:sz="4"/>
            </w:tcBorders>
            <w:shd w:fill="EEF5FB" w:val="clear"/>
            <w:tcMar>
              <w:top w:type="dxa" w:w="120"/>
              <w:left w:type="dxa" w:w="180"/>
              <w:bottom w:type="dxa" w:w="120"/>
              <w:right w:type="dxa" w:w="180"/>
            </w:tcMar>
          </w:tcPr>
          <w:p>
            <w:pPr>
              <w:spacing w:after="40" w:before="0"/>
            </w:pPr>
            <w:r>
              <w:rPr>
                <w:rFonts w:ascii="Calibri" w:cs="Calibri" w:eastAsia="Calibri" w:hAnsi="Calibri"/>
                <w:b/>
                <w:bCs/>
                <w:color w:val="17385A"/>
                <w:sz w:val="21"/>
                <w:szCs w:val="21"/>
              </w:rPr>
              <w:t xml:space="preserve">Spelling Transfer</w:t>
            </w:r>
          </w:p>
          <w:p>
            <w:pPr>
              <w:jc w:val="both"/>
            </w:pPr>
            <w:r>
              <w:rPr>
                <w:rFonts w:ascii="Calibri" w:cs="Calibri" w:eastAsia="Calibri" w:hAnsi="Calibri"/>
                <w:color w:val="1F2D3A"/>
                <w:sz w:val="20"/>
                <w:szCs w:val="20"/>
              </w:rPr>
              <w:t xml:space="preserve">The ability to hear sounds, map them to print, construct the correct word, and use that written word in a meaningful context. It is not only about copying letters — it is about encoding: holding the sound sequence in memory, segmenting it, selecting the right graphemes, and producing the word in the correct order. The activities support this through sound-first routines, tile-building, drag-and-drop encoding, and controlled dictation-like tasks.</w:t>
            </w:r>
          </w:p>
        </w:tc>
      </w:tr>
    </w:tbl>
    <w:p>
      <w:pPr>
        <w:spacing w:after="0" w:before="120"/>
      </w:pPr>
    </w:p>
    <w:p>
      <w:pPr>
        <w:pBdr>
          <w:bottom w:val="single" w:color="C8940A" w:sz="6" w:space="3"/>
        </w:pBdr>
        <w:spacing w:after="60" w:before="200"/>
      </w:pPr>
      <w:r>
        <w:rPr>
          <w:rFonts w:ascii="Calibri" w:cs="Calibri" w:eastAsia="Calibri" w:hAnsi="Calibri"/>
          <w:b/>
          <w:bCs/>
          <w:color w:val="17385A"/>
          <w:sz w:val="24"/>
          <w:szCs w:val="24"/>
        </w:rPr>
        <w:t xml:space="preserve">The Teaching Model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il"/>
              <w:left w:val="nil"/>
              <w:bottom w:val="single" w:color="D8E4EE" w:sz="2"/>
              <w:right w:val="nil"/>
            </w:tcBorders>
            <w:shd w:fill="17385A" w:val="clear"/>
            <w:tcMar>
              <w:top w:type="dxa" w:w="80"/>
              <w:left w:type="dxa" w:w="140"/>
              <w:bottom w:type="dxa" w:w="80"/>
              <w:right w:type="dxa" w:w="140"/>
            </w:tcMar>
            <w:vAlign w:val="center"/>
          </w:tcPr>
          <w:p>
            <w:pPr>
              <w:jc w:val="center"/>
            </w:pPr>
            <w:r>
              <w:rPr>
                <w:rFonts w:ascii="Calibri" w:cs="Calibri" w:eastAsia="Calibri" w:hAnsi="Calibri"/>
                <w:b/>
                <w:bCs/>
                <w:color w:val="FFFFFF"/>
                <w:sz w:val="22"/>
                <w:szCs w:val="22"/>
              </w:rPr>
              <w:t xml:space="preserve">1</w:t>
            </w:r>
          </w:p>
        </w:tc>
        <w:tc>
          <w:tcPr>
            <w:tcW w:type="dxa" w:w="8800"/>
            <w:tcBorders>
              <w:top w:val="nil"/>
              <w:left w:val="nil"/>
              <w:bottom w:val="single" w:color="D8E4EE" w:sz="2"/>
              <w:right w:val="nil"/>
            </w:tcBorders>
            <w:shd w:fill="FFFFFF" w:val="clear"/>
            <w:tcMar>
              <w:top w:type="dxa" w:w="80"/>
              <w:left w:type="dxa" w:w="160"/>
              <w:bottom w:type="dxa" w:w="80"/>
              <w:right w:type="dxa" w:w="140"/>
            </w:tcMar>
          </w:tcPr>
          <w:p>
            <w:pPr>
              <w:spacing w:after="30" w:before="0"/>
            </w:pPr>
            <w:r>
              <w:rPr>
                <w:rFonts w:ascii="Calibri" w:cs="Calibri" w:eastAsia="Calibri" w:hAnsi="Calibri"/>
                <w:b/>
                <w:bCs/>
                <w:color w:val="17385A"/>
                <w:sz w:val="21"/>
                <w:szCs w:val="21"/>
              </w:rPr>
              <w:t xml:space="preserve">Sound Before Print</w:t>
            </w:r>
          </w:p>
          <w:p>
            <w:pPr>
              <w:spacing w:after="0" w:before="0"/>
            </w:pPr>
            <w:r>
              <w:rPr>
                <w:rFonts w:ascii="Calibri" w:cs="Calibri" w:eastAsia="Calibri" w:hAnsi="Calibri"/>
                <w:color w:val="1F2D3A"/>
                <w:sz w:val="19"/>
                <w:szCs w:val="19"/>
              </w:rPr>
              <w:t xml:space="preserve">Students first attend to the spoken word and its meaning before relying on visible text. This helps block guessing and pushes attention toward actual phonological processing.</w:t>
            </w:r>
          </w:p>
        </w:tc>
      </w:tr>
      <w:tr>
        <w:tc>
          <w:tcPr>
            <w:tcW w:type="dxa" w:w="560"/>
            <w:tcBorders>
              <w:top w:val="nil"/>
              <w:left w:val="nil"/>
              <w:bottom w:val="single" w:color="D8E4EE" w:sz="2"/>
              <w:right w:val="nil"/>
            </w:tcBorders>
            <w:shd w:fill="17385A" w:val="clear"/>
            <w:tcMar>
              <w:top w:type="dxa" w:w="80"/>
              <w:left w:type="dxa" w:w="140"/>
              <w:bottom w:type="dxa" w:w="80"/>
              <w:right w:type="dxa" w:w="140"/>
            </w:tcMar>
            <w:vAlign w:val="center"/>
          </w:tcPr>
          <w:p>
            <w:pPr>
              <w:jc w:val="center"/>
            </w:pPr>
            <w:r>
              <w:rPr>
                <w:rFonts w:ascii="Calibri" w:cs="Calibri" w:eastAsia="Calibri" w:hAnsi="Calibri"/>
                <w:b/>
                <w:bCs/>
                <w:color w:val="FFFFFF"/>
                <w:sz w:val="22"/>
                <w:szCs w:val="22"/>
              </w:rPr>
              <w:t xml:space="preserve">2</w:t>
            </w:r>
          </w:p>
        </w:tc>
        <w:tc>
          <w:tcPr>
            <w:tcW w:type="dxa" w:w="8800"/>
            <w:tcBorders>
              <w:top w:val="nil"/>
              <w:left w:val="nil"/>
              <w:bottom w:val="single" w:color="D8E4EE" w:sz="2"/>
              <w:right w:val="nil"/>
            </w:tcBorders>
            <w:shd w:fill="F4F9FD" w:val="clear"/>
            <w:tcMar>
              <w:top w:type="dxa" w:w="80"/>
              <w:left w:type="dxa" w:w="160"/>
              <w:bottom w:type="dxa" w:w="80"/>
              <w:right w:type="dxa" w:w="140"/>
            </w:tcMar>
          </w:tcPr>
          <w:p>
            <w:pPr>
              <w:spacing w:after="30" w:before="0"/>
            </w:pPr>
            <w:r>
              <w:rPr>
                <w:rFonts w:ascii="Calibri" w:cs="Calibri" w:eastAsia="Calibri" w:hAnsi="Calibri"/>
                <w:b/>
                <w:bCs/>
                <w:color w:val="17385A"/>
                <w:sz w:val="21"/>
                <w:szCs w:val="21"/>
              </w:rPr>
              <w:t xml:space="preserve">Continuous Blending and Phoneme Awareness</w:t>
            </w:r>
          </w:p>
          <w:p>
            <w:pPr>
              <w:spacing w:after="0" w:before="0"/>
            </w:pPr>
            <w:r>
              <w:rPr>
                <w:rFonts w:ascii="Calibri" w:cs="Calibri" w:eastAsia="Calibri" w:hAnsi="Calibri"/>
                <w:color w:val="1F2D3A"/>
                <w:sz w:val="19"/>
                <w:szCs w:val="19"/>
              </w:rPr>
              <w:t xml:space="preserve">Learners need support hearing the whole sound sequence as one continuous unit. Continuous blending keeps sound information active long enough for orthographic mapping to happen.</w:t>
            </w:r>
          </w:p>
        </w:tc>
      </w:tr>
      <w:tr>
        <w:tc>
          <w:tcPr>
            <w:tcW w:type="dxa" w:w="560"/>
            <w:tcBorders>
              <w:top w:val="nil"/>
              <w:left w:val="nil"/>
              <w:bottom w:val="single" w:color="D8E4EE" w:sz="2"/>
              <w:right w:val="nil"/>
            </w:tcBorders>
            <w:shd w:fill="17385A" w:val="clear"/>
            <w:tcMar>
              <w:top w:type="dxa" w:w="80"/>
              <w:left w:type="dxa" w:w="140"/>
              <w:bottom w:type="dxa" w:w="80"/>
              <w:right w:type="dxa" w:w="140"/>
            </w:tcMar>
            <w:vAlign w:val="center"/>
          </w:tcPr>
          <w:p>
            <w:pPr>
              <w:jc w:val="center"/>
            </w:pPr>
            <w:r>
              <w:rPr>
                <w:rFonts w:ascii="Calibri" w:cs="Calibri" w:eastAsia="Calibri" w:hAnsi="Calibri"/>
                <w:b/>
                <w:bCs/>
                <w:color w:val="FFFFFF"/>
                <w:sz w:val="22"/>
                <w:szCs w:val="22"/>
              </w:rPr>
              <w:t xml:space="preserve">3</w:t>
            </w:r>
          </w:p>
        </w:tc>
        <w:tc>
          <w:tcPr>
            <w:tcW w:type="dxa" w:w="8800"/>
            <w:tcBorders>
              <w:top w:val="nil"/>
              <w:left w:val="nil"/>
              <w:bottom w:val="single" w:color="D8E4EE" w:sz="2"/>
              <w:right w:val="nil"/>
            </w:tcBorders>
            <w:shd w:fill="FFFFFF" w:val="clear"/>
            <w:tcMar>
              <w:top w:type="dxa" w:w="80"/>
              <w:left w:type="dxa" w:w="160"/>
              <w:bottom w:type="dxa" w:w="80"/>
              <w:right w:type="dxa" w:w="140"/>
            </w:tcMar>
          </w:tcPr>
          <w:p>
            <w:pPr>
              <w:spacing w:after="30" w:before="0"/>
            </w:pPr>
            <w:r>
              <w:rPr>
                <w:rFonts w:ascii="Calibri" w:cs="Calibri" w:eastAsia="Calibri" w:hAnsi="Calibri"/>
                <w:b/>
                <w:bCs/>
                <w:color w:val="17385A"/>
                <w:sz w:val="21"/>
                <w:szCs w:val="21"/>
              </w:rPr>
              <w:t xml:space="preserve">Make Sounds Visible and Actionable</w:t>
            </w:r>
          </w:p>
          <w:p>
            <w:pPr>
              <w:spacing w:after="0" w:before="0"/>
            </w:pPr>
            <w:r>
              <w:rPr>
                <w:rFonts w:ascii="Calibri" w:cs="Calibri" w:eastAsia="Calibri" w:hAnsi="Calibri"/>
                <w:color w:val="1F2D3A"/>
                <w:sz w:val="19"/>
                <w:szCs w:val="19"/>
              </w:rPr>
              <w:t xml:space="preserve">Instruction externalizes invisible sound structure through boxes, tiles, sliders, and drag-and-drop tasks — particularly useful when students are not ready for full handwriting demands.</w:t>
            </w:r>
          </w:p>
        </w:tc>
      </w:tr>
      <w:tr>
        <w:tc>
          <w:tcPr>
            <w:tcW w:type="dxa" w:w="560"/>
            <w:tcBorders>
              <w:top w:val="nil"/>
              <w:left w:val="nil"/>
              <w:bottom w:val="single" w:color="D8E4EE" w:sz="2"/>
              <w:right w:val="nil"/>
            </w:tcBorders>
            <w:shd w:fill="17385A" w:val="clear"/>
            <w:tcMar>
              <w:top w:type="dxa" w:w="80"/>
              <w:left w:type="dxa" w:w="140"/>
              <w:bottom w:type="dxa" w:w="80"/>
              <w:right w:type="dxa" w:w="140"/>
            </w:tcMar>
            <w:vAlign w:val="center"/>
          </w:tcPr>
          <w:p>
            <w:pPr>
              <w:jc w:val="center"/>
            </w:pPr>
            <w:r>
              <w:rPr>
                <w:rFonts w:ascii="Calibri" w:cs="Calibri" w:eastAsia="Calibri" w:hAnsi="Calibri"/>
                <w:b/>
                <w:bCs/>
                <w:color w:val="FFFFFF"/>
                <w:sz w:val="22"/>
                <w:szCs w:val="22"/>
              </w:rPr>
              <w:t xml:space="preserve">4</w:t>
            </w:r>
          </w:p>
        </w:tc>
        <w:tc>
          <w:tcPr>
            <w:tcW w:type="dxa" w:w="8800"/>
            <w:tcBorders>
              <w:top w:val="nil"/>
              <w:left w:val="nil"/>
              <w:bottom w:val="single" w:color="D8E4EE" w:sz="2"/>
              <w:right w:val="nil"/>
            </w:tcBorders>
            <w:shd w:fill="F4F9FD" w:val="clear"/>
            <w:tcMar>
              <w:top w:type="dxa" w:w="80"/>
              <w:left w:type="dxa" w:w="160"/>
              <w:bottom w:type="dxa" w:w="80"/>
              <w:right w:type="dxa" w:w="140"/>
            </w:tcMar>
          </w:tcPr>
          <w:p>
            <w:pPr>
              <w:spacing w:after="30" w:before="0"/>
            </w:pPr>
            <w:r>
              <w:rPr>
                <w:rFonts w:ascii="Calibri" w:cs="Calibri" w:eastAsia="Calibri" w:hAnsi="Calibri"/>
                <w:b/>
                <w:bCs/>
                <w:color w:val="17385A"/>
                <w:sz w:val="21"/>
                <w:szCs w:val="21"/>
              </w:rPr>
              <w:t xml:space="preserve">Gradual Release Across Task Types</w:t>
            </w:r>
          </w:p>
          <w:p>
            <w:pPr>
              <w:spacing w:after="0" w:before="0"/>
            </w:pPr>
            <w:r>
              <w:rPr>
                <w:rFonts w:ascii="Calibri" w:cs="Calibri" w:eastAsia="Calibri" w:hAnsi="Calibri"/>
                <w:color w:val="1F2D3A"/>
                <w:sz w:val="19"/>
                <w:szCs w:val="19"/>
              </w:rPr>
              <w:t xml:space="preserve">Students should not stop at a single correct response. They carry the same target through a sequence: listen, build, match, read, and use in context.</w:t>
            </w:r>
          </w:p>
        </w:tc>
      </w:tr>
      <w:tr>
        <w:tc>
          <w:tcPr>
            <w:tcW w:type="dxa" w:w="560"/>
            <w:tcBorders>
              <w:top w:val="nil"/>
              <w:left w:val="nil"/>
              <w:bottom w:val="single" w:color="D8E4EE" w:sz="2"/>
              <w:right w:val="nil"/>
            </w:tcBorders>
            <w:shd w:fill="17385A" w:val="clear"/>
            <w:tcMar>
              <w:top w:type="dxa" w:w="80"/>
              <w:left w:type="dxa" w:w="140"/>
              <w:bottom w:type="dxa" w:w="80"/>
              <w:right w:type="dxa" w:w="140"/>
            </w:tcMar>
            <w:vAlign w:val="center"/>
          </w:tcPr>
          <w:p>
            <w:pPr>
              <w:jc w:val="center"/>
            </w:pPr>
            <w:r>
              <w:rPr>
                <w:rFonts w:ascii="Calibri" w:cs="Calibri" w:eastAsia="Calibri" w:hAnsi="Calibri"/>
                <w:b/>
                <w:bCs/>
                <w:color w:val="FFFFFF"/>
                <w:sz w:val="22"/>
                <w:szCs w:val="22"/>
              </w:rPr>
              <w:t xml:space="preserve">5</w:t>
            </w:r>
          </w:p>
        </w:tc>
        <w:tc>
          <w:tcPr>
            <w:tcW w:type="dxa" w:w="8800"/>
            <w:tcBorders>
              <w:top w:val="nil"/>
              <w:left w:val="nil"/>
              <w:bottom w:val="single" w:color="D8E4EE" w:sz="2"/>
              <w:right w:val="nil"/>
            </w:tcBorders>
            <w:shd w:fill="FFFFFF" w:val="clear"/>
            <w:tcMar>
              <w:top w:type="dxa" w:w="80"/>
              <w:left w:type="dxa" w:w="160"/>
              <w:bottom w:type="dxa" w:w="80"/>
              <w:right w:type="dxa" w:w="140"/>
            </w:tcMar>
          </w:tcPr>
          <w:p>
            <w:pPr>
              <w:spacing w:after="30" w:before="0"/>
            </w:pPr>
            <w:r>
              <w:rPr>
                <w:rFonts w:ascii="Calibri" w:cs="Calibri" w:eastAsia="Calibri" w:hAnsi="Calibri"/>
                <w:b/>
                <w:bCs/>
                <w:color w:val="17385A"/>
                <w:sz w:val="21"/>
                <w:szCs w:val="21"/>
              </w:rPr>
              <w:t xml:space="preserve">Meaning-Connected Practice</w:t>
            </w:r>
          </w:p>
          <w:p>
            <w:pPr>
              <w:spacing w:after="0" w:before="0"/>
            </w:pPr>
            <w:r>
              <w:rPr>
                <w:rFonts w:ascii="Calibri" w:cs="Calibri" w:eastAsia="Calibri" w:hAnsi="Calibri"/>
                <w:color w:val="1F2D3A"/>
                <w:sz w:val="19"/>
                <w:szCs w:val="19"/>
              </w:rPr>
              <w:t xml:space="preserve">Transfer is stronger when words are tied to pictures, phrases, and sentence frames. This prevents phonics from becoming empty symbol manipulation.</w:t>
            </w:r>
          </w:p>
        </w:tc>
      </w:tr>
      <w:tr>
        <w:tc>
          <w:tcPr>
            <w:tcW w:type="dxa" w:w="560"/>
            <w:tcBorders>
              <w:top w:val="nil"/>
              <w:left w:val="nil"/>
              <w:bottom w:val="nil"/>
              <w:right w:val="nil"/>
            </w:tcBorders>
            <w:shd w:fill="17385A" w:val="clear"/>
            <w:tcMar>
              <w:top w:type="dxa" w:w="80"/>
              <w:left w:type="dxa" w:w="140"/>
              <w:bottom w:type="dxa" w:w="80"/>
              <w:right w:type="dxa" w:w="140"/>
            </w:tcMar>
            <w:vAlign w:val="center"/>
          </w:tcPr>
          <w:p>
            <w:pPr>
              <w:jc w:val="center"/>
            </w:pPr>
            <w:r>
              <w:rPr>
                <w:rFonts w:ascii="Calibri" w:cs="Calibri" w:eastAsia="Calibri" w:hAnsi="Calibri"/>
                <w:b/>
                <w:bCs/>
                <w:color w:val="FFFFFF"/>
                <w:sz w:val="22"/>
                <w:szCs w:val="22"/>
              </w:rPr>
              <w:t xml:space="preserve">6</w:t>
            </w:r>
          </w:p>
        </w:tc>
        <w:tc>
          <w:tcPr>
            <w:tcW w:type="dxa" w:w="8800"/>
            <w:tcBorders>
              <w:top w:val="nil"/>
              <w:left w:val="nil"/>
              <w:bottom w:val="nil"/>
              <w:right w:val="nil"/>
            </w:tcBorders>
            <w:shd w:fill="F4F9FD" w:val="clear"/>
            <w:tcMar>
              <w:top w:type="dxa" w:w="80"/>
              <w:left w:type="dxa" w:w="160"/>
              <w:bottom w:type="dxa" w:w="80"/>
              <w:right w:type="dxa" w:w="140"/>
            </w:tcMar>
          </w:tcPr>
          <w:p>
            <w:pPr>
              <w:spacing w:after="30" w:before="0"/>
            </w:pPr>
            <w:r>
              <w:rPr>
                <w:rFonts w:ascii="Calibri" w:cs="Calibri" w:eastAsia="Calibri" w:hAnsi="Calibri"/>
                <w:b/>
                <w:bCs/>
                <w:color w:val="17385A"/>
                <w:sz w:val="21"/>
                <w:szCs w:val="21"/>
              </w:rPr>
              <w:t xml:space="preserve">Teacher Model Plus Student Practice</w:t>
            </w:r>
          </w:p>
          <w:p>
            <w:pPr>
              <w:spacing w:after="0" w:before="0"/>
            </w:pPr>
            <w:r>
              <w:rPr>
                <w:rFonts w:ascii="Calibri" w:cs="Calibri" w:eastAsia="Calibri" w:hAnsi="Calibri"/>
                <w:color w:val="1F2D3A"/>
                <w:sz w:val="19"/>
                <w:szCs w:val="19"/>
              </w:rPr>
              <w:t xml:space="preserve">The activities consistently use a teacher-led board view and a student practice view — explicit modeling first, then independent response.</w:t>
            </w:r>
          </w:p>
        </w:tc>
      </w:tr>
    </w:tbl>
    <w:p>
      <w:pPr>
        <w:spacing w:after="0" w:before="120"/>
      </w:pPr>
    </w:p>
    <w:p>
      <w:pPr>
        <w:pBdr>
          <w:bottom w:val="single" w:color="C8940A" w:sz="6" w:space="3"/>
        </w:pBdr>
        <w:spacing w:after="60" w:before="200"/>
      </w:pPr>
      <w:r>
        <w:rPr>
          <w:rFonts w:ascii="Calibri" w:cs="Calibri" w:eastAsia="Calibri" w:hAnsi="Calibri"/>
          <w:b/>
          <w:bCs/>
          <w:color w:val="17385A"/>
          <w:sz w:val="24"/>
          <w:szCs w:val="24"/>
        </w:rPr>
        <w:t xml:space="preserve">How the Current Activities Apply These Principles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40A" w:sz="4"/>
              <w:left w:val="single" w:color="C8940A" w:sz="4"/>
              <w:bottom w:val="nil"/>
              <w:right w:val="single" w:color="C8940A" w:sz="4"/>
            </w:tcBorders>
            <w:shd w:fill="17385A" w:val="clear"/>
            <w:tcMar>
              <w:top w:type="dxa" w:w="100"/>
              <w:left w:type="dxa" w:w="180"/>
              <w:bottom w:type="dxa" w:w="100"/>
              <w:right w:type="dxa" w:w="180"/>
            </w:tcMar>
          </w:tcPr>
          <w:p>
            <w:r>
              <w:rPr>
                <w:rFonts w:ascii="Calibri" w:cs="Calibri" w:eastAsia="Calibri" w:hAnsi="Calibri"/>
                <w:b/>
                <w:bCs/>
                <w:color w:val="C8940A"/>
                <w:sz w:val="17"/>
                <w:szCs w:val="17"/>
              </w:rPr>
              <w:t xml:space="preserve">ACTIVITY 1  </w:t>
            </w:r>
            <w:r>
              <w:rPr>
                <w:rFonts w:ascii="Calibri" w:cs="Calibri" w:eastAsia="Calibri" w:hAnsi="Calibri"/>
                <w:b/>
                <w:bCs/>
                <w:color w:val="FFFFFF"/>
                <w:sz w:val="21"/>
                <w:szCs w:val="21"/>
              </w:rPr>
              <w:t xml:space="preserve">Foundational Continuous Blending Slider</w:t>
            </w:r>
          </w:p>
        </w:tc>
      </w:tr>
      <w:tr>
        <w:tc>
          <w:tcPr>
            <w:tcW w:type="dxa" w:w="9360"/>
            <w:tcBorders>
              <w:top w:val="nil"/>
              <w:left w:val="single" w:color="C8940A" w:sz="4"/>
              <w:bottom w:val="single" w:color="D0DCE8" w:sz="2"/>
              <w:right w:val="single" w:color="C8940A" w:sz="4"/>
            </w:tcBorders>
            <w:shd w:fill="FFFFFF" w:val="clear"/>
            <w:tcMar>
              <w:top w:type="dxa" w:w="80"/>
              <w:left w:type="dxa" w:w="180"/>
              <w:bottom w:type="dxa" w:w="80"/>
              <w:right w:type="dxa" w:w="180"/>
            </w:tcMar>
          </w:tcPr>
          <w:p>
            <w:pPr>
              <w:spacing w:after="50" w:before="0"/>
            </w:pPr>
            <w:r>
              <w:rPr>
                <w:rFonts w:ascii="Calibri" w:cs="Calibri" w:eastAsia="Calibri" w:hAnsi="Calibri"/>
                <w:color w:val="5A6E7F"/>
                <w:sz w:val="19"/>
                <w:szCs w:val="19"/>
              </w:rPr>
              <w:t xml:space="preserve">Pre-transfer scaffold — sound + meaning first, print later</w:t>
            </w:r>
          </w:p>
          <w:p>
            <w:pPr>
              <w:pStyle w:val="ListParagraph"/>
              <w:numPr>
                <w:ilvl w:val="0"/>
                <w:numId w:val="2"/>
              </w:numPr>
              <w:spacing w:after="35" w:before="35" w:line="252"/>
            </w:pPr>
            <w:r>
              <w:rPr>
                <w:rFonts w:ascii="Calibri" w:cs="Calibri" w:eastAsia="Calibri" w:hAnsi="Calibri"/>
                <w:color w:val="1F2D3A"/>
                <w:sz w:val="19"/>
                <w:szCs w:val="19"/>
              </w:rPr>
              <w:t xml:space="preserve">Picture reveal before full print support; level settings control when text appears (ECP5/6m: no print during reveal; ECP6: delayed; ECP7: immediate)</w:t>
            </w:r>
          </w:p>
          <w:p>
            <w:pPr>
              <w:pStyle w:val="ListParagraph"/>
              <w:numPr>
                <w:ilvl w:val="0"/>
                <w:numId w:val="2"/>
              </w:numPr>
              <w:spacing w:after="35" w:before="35" w:line="252"/>
            </w:pPr>
            <w:r>
              <w:rPr>
                <w:rFonts w:ascii="Calibri" w:cs="Calibri" w:eastAsia="Calibri" w:hAnsi="Calibri"/>
                <w:color w:val="1F2D3A"/>
                <w:sz w:val="19"/>
                <w:szCs w:val="19"/>
              </w:rPr>
              <w:t xml:space="preserve">Teacher-led board mode with at-home listen / practice / record loop</w:t>
            </w:r>
          </w:p>
          <w:p>
            <w:pPr>
              <w:pStyle w:val="ListParagraph"/>
              <w:numPr>
                <w:ilvl w:val="0"/>
                <w:numId w:val="2"/>
              </w:numPr>
              <w:spacing w:after="35" w:before="35" w:line="252"/>
            </w:pPr>
            <w:r>
              <w:rPr>
                <w:rFonts w:ascii="Calibri" w:cs="Calibri" w:eastAsia="Calibri" w:hAnsi="Calibri"/>
                <w:color w:val="1F2D3A"/>
                <w:sz w:val="19"/>
                <w:szCs w:val="19"/>
              </w:rPr>
              <w:t xml:space="preserve">Progress tracking across target words; recorded samples queued for AI profile</w:t>
            </w:r>
          </w:p>
          <w:p>
            <w:pPr>
              <w:pStyle w:val="ListParagraph"/>
              <w:numPr>
                <w:ilvl w:val="0"/>
                <w:numId w:val="2"/>
              </w:numPr>
              <w:spacing w:after="35" w:before="35" w:line="252"/>
            </w:pPr>
            <w:r>
              <w:rPr>
                <w:rFonts w:ascii="Calibri" w:cs="Calibri" w:eastAsia="Calibri" w:hAnsi="Calibri"/>
                <w:color w:val="1F2D3A"/>
                <w:sz w:val="19"/>
                <w:szCs w:val="19"/>
              </w:rPr>
              <w:t xml:space="preserve">Connects sound, meaning, and print without overloading students early</w:t>
            </w:r>
          </w:p>
        </w:tc>
      </w:tr>
      <w:tr>
        <w:tc>
          <w:tcPr>
            <w:tcW w:type="dxa" w:w="9360"/>
            <w:tcBorders>
              <w:top w:val="nil"/>
              <w:left w:val="single" w:color="C8940A" w:sz="4"/>
              <w:bottom w:val="single" w:color="C8940A" w:sz="4"/>
              <w:right w:val="single" w:color="C8940A" w:sz="4"/>
            </w:tcBorders>
            <w:shd w:fill="FDF6E3" w:val="clear"/>
            <w:tcMar>
              <w:top w:type="dxa" w:w="70"/>
              <w:left w:type="dxa" w:w="180"/>
              <w:bottom w:type="dxa" w:w="70"/>
              <w:right w:type="dxa" w:w="180"/>
            </w:tcMar>
          </w:tcPr>
          <w:p>
            <w:r>
              <w:rPr>
                <w:rFonts w:ascii="Calibri" w:cs="Calibri" w:eastAsia="Calibri" w:hAnsi="Calibri"/>
                <w:b/>
                <w:bCs/>
                <w:color w:val="17385A"/>
                <w:sz w:val="19"/>
                <w:szCs w:val="19"/>
              </w:rPr>
              <w:t xml:space="preserve">Instructional role: </w:t>
            </w:r>
            <w:r>
              <w:rPr>
                <w:rFonts w:ascii="Calibri" w:cs="Calibri" w:eastAsia="Calibri" w:hAnsi="Calibri"/>
                <w:color w:val="1F2D3A"/>
                <w:sz w:val="19"/>
                <w:szCs w:val="19"/>
              </w:rPr>
              <w:t xml:space="preserve">builds the transfer foundation by helping students connect sound, meaning, and eventually print in a levelled, controlled sequence.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40A" w:sz="4"/>
              <w:left w:val="single" w:color="C8940A" w:sz="4"/>
              <w:bottom w:val="nil"/>
              <w:right w:val="single" w:color="C8940A" w:sz="4"/>
            </w:tcBorders>
            <w:shd w:fill="17385A" w:val="clear"/>
            <w:tcMar>
              <w:top w:type="dxa" w:w="100"/>
              <w:left w:type="dxa" w:w="180"/>
              <w:bottom w:type="dxa" w:w="100"/>
              <w:right w:type="dxa" w:w="180"/>
            </w:tcMar>
          </w:tcPr>
          <w:p>
            <w:r>
              <w:rPr>
                <w:rFonts w:ascii="Calibri" w:cs="Calibri" w:eastAsia="Calibri" w:hAnsi="Calibri"/>
                <w:b/>
                <w:bCs/>
                <w:color w:val="C8940A"/>
                <w:sz w:val="17"/>
                <w:szCs w:val="17"/>
              </w:rPr>
              <w:t xml:space="preserve">ACTIVITY 2  </w:t>
            </w:r>
            <w:r>
              <w:rPr>
                <w:rFonts w:ascii="Calibri" w:cs="Calibri" w:eastAsia="Calibri" w:hAnsi="Calibri"/>
                <w:b/>
                <w:bCs/>
                <w:color w:val="FFFFFF"/>
                <w:sz w:val="21"/>
                <w:szCs w:val="21"/>
              </w:rPr>
              <w:t xml:space="preserve">ECP6 Spelling Transfer Train</w:t>
            </w:r>
          </w:p>
        </w:tc>
      </w:tr>
      <w:tr>
        <w:tc>
          <w:tcPr>
            <w:tcW w:type="dxa" w:w="9360"/>
            <w:tcBorders>
              <w:top w:val="nil"/>
              <w:left w:val="single" w:color="C8940A" w:sz="4"/>
              <w:bottom w:val="single" w:color="D0DCE8" w:sz="2"/>
              <w:right w:val="single" w:color="C8940A" w:sz="4"/>
            </w:tcBorders>
            <w:shd w:fill="FFFFFF" w:val="clear"/>
            <w:tcMar>
              <w:top w:type="dxa" w:w="80"/>
              <w:left w:type="dxa" w:w="180"/>
              <w:bottom w:type="dxa" w:w="80"/>
              <w:right w:type="dxa" w:w="180"/>
            </w:tcMar>
          </w:tcPr>
          <w:p>
            <w:pPr>
              <w:spacing w:after="50" w:before="0"/>
            </w:pPr>
            <w:r>
              <w:rPr>
                <w:rFonts w:ascii="Calibri" w:cs="Calibri" w:eastAsia="Calibri" w:hAnsi="Calibri"/>
                <w:color w:val="5A6E7F"/>
                <w:sz w:val="19"/>
                <w:szCs w:val="19"/>
              </w:rPr>
              <w:t xml:space="preserve">hear → build → sentence transfer</w:t>
            </w:r>
          </w:p>
          <w:p>
            <w:pPr>
              <w:pStyle w:val="ListParagraph"/>
              <w:numPr>
                <w:ilvl w:val="0"/>
                <w:numId w:val="2"/>
              </w:numPr>
              <w:spacing w:after="35" w:before="35" w:line="252"/>
            </w:pPr>
            <w:r>
              <w:rPr>
                <w:rFonts w:ascii="Calibri" w:cs="Calibri" w:eastAsia="Calibri" w:hAnsi="Calibri"/>
                <w:color w:val="1F2D3A"/>
                <w:sz w:val="19"/>
                <w:szCs w:val="19"/>
              </w:rPr>
              <w:t xml:space="preserve">Word Cargo List: students listen to target words, say them, and mark as practiced</w:t>
            </w:r>
          </w:p>
          <w:p>
            <w:pPr>
              <w:pStyle w:val="ListParagraph"/>
              <w:numPr>
                <w:ilvl w:val="0"/>
                <w:numId w:val="2"/>
              </w:numPr>
              <w:spacing w:after="35" w:before="35" w:line="252"/>
            </w:pPr>
            <w:r>
              <w:rPr>
                <w:rFonts w:ascii="Calibri" w:cs="Calibri" w:eastAsia="Calibri" w:hAnsi="Calibri"/>
                <w:color w:val="1F2D3A"/>
                <w:sz w:val="19"/>
                <w:szCs w:val="19"/>
              </w:rPr>
              <w:t xml:space="preserve">Spelling Station: students hear the word and build it letter-by-letter on the train car — encoding, not copying</w:t>
            </w:r>
          </w:p>
          <w:p>
            <w:pPr>
              <w:pStyle w:val="ListParagraph"/>
              <w:numPr>
                <w:ilvl w:val="0"/>
                <w:numId w:val="2"/>
              </w:numPr>
              <w:spacing w:after="35" w:before="35" w:line="252"/>
            </w:pPr>
            <w:r>
              <w:rPr>
                <w:rFonts w:ascii="Calibri" w:cs="Calibri" w:eastAsia="Calibri" w:hAnsi="Calibri"/>
                <w:color w:val="1F2D3A"/>
                <w:sz w:val="19"/>
                <w:szCs w:val="19"/>
              </w:rPr>
              <w:t xml:space="preserve">Sentence Yard: students drag the completed word into the matching sentence frame</w:t>
            </w:r>
          </w:p>
          <w:p>
            <w:pPr>
              <w:pStyle w:val="ListParagraph"/>
              <w:numPr>
                <w:ilvl w:val="0"/>
                <w:numId w:val="2"/>
              </w:numPr>
              <w:spacing w:after="35" w:before="35" w:line="252"/>
            </w:pPr>
            <w:r>
              <w:rPr>
                <w:rFonts w:ascii="Calibri" w:cs="Calibri" w:eastAsia="Calibri" w:hAnsi="Calibri"/>
                <w:color w:val="1F2D3A"/>
                <w:sz w:val="19"/>
                <w:szCs w:val="19"/>
              </w:rPr>
              <w:t xml:space="preserve">Sound-first prompting, reduced motor load via drag-and-drop, left-to-right sequencing, teacher board + tablet views</w:t>
            </w:r>
          </w:p>
        </w:tc>
      </w:tr>
      <w:tr>
        <w:tc>
          <w:tcPr>
            <w:tcW w:type="dxa" w:w="9360"/>
            <w:tcBorders>
              <w:top w:val="nil"/>
              <w:left w:val="single" w:color="C8940A" w:sz="4"/>
              <w:bottom w:val="single" w:color="C8940A" w:sz="4"/>
              <w:right w:val="single" w:color="C8940A" w:sz="4"/>
            </w:tcBorders>
            <w:shd w:fill="FDF6E3" w:val="clear"/>
            <w:tcMar>
              <w:top w:type="dxa" w:w="70"/>
              <w:left w:type="dxa" w:w="180"/>
              <w:bottom w:type="dxa" w:w="70"/>
              <w:right w:type="dxa" w:w="180"/>
            </w:tcMar>
          </w:tcPr>
          <w:p>
            <w:r>
              <w:rPr>
                <w:rFonts w:ascii="Calibri" w:cs="Calibri" w:eastAsia="Calibri" w:hAnsi="Calibri"/>
                <w:b/>
                <w:bCs/>
                <w:color w:val="17385A"/>
                <w:sz w:val="19"/>
                <w:szCs w:val="19"/>
              </w:rPr>
              <w:t xml:space="preserve">Instructional role: </w:t>
            </w:r>
            <w:r>
              <w:rPr>
                <w:rFonts w:ascii="Calibri" w:cs="Calibri" w:eastAsia="Calibri" w:hAnsi="Calibri"/>
                <w:color w:val="1F2D3A"/>
                <w:sz w:val="19"/>
                <w:szCs w:val="19"/>
              </w:rPr>
              <w:t xml:space="preserve">operationalizes spelling transfer by moving from auditory input → letter construction → contextual sentence use.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40A" w:sz="4"/>
              <w:left w:val="single" w:color="C8940A" w:sz="4"/>
              <w:bottom w:val="nil"/>
              <w:right w:val="single" w:color="C8940A" w:sz="4"/>
            </w:tcBorders>
            <w:shd w:fill="17385A" w:val="clear"/>
            <w:tcMar>
              <w:top w:type="dxa" w:w="100"/>
              <w:left w:type="dxa" w:w="180"/>
              <w:bottom w:type="dxa" w:w="100"/>
              <w:right w:type="dxa" w:w="180"/>
            </w:tcMar>
          </w:tcPr>
          <w:p>
            <w:r>
              <w:rPr>
                <w:rFonts w:ascii="Calibri" w:cs="Calibri" w:eastAsia="Calibri" w:hAnsi="Calibri"/>
                <w:b/>
                <w:bCs/>
                <w:color w:val="C8940A"/>
                <w:sz w:val="17"/>
                <w:szCs w:val="17"/>
              </w:rPr>
              <w:t xml:space="preserve">ACTIVITY 3  </w:t>
            </w:r>
            <w:r>
              <w:rPr>
                <w:rFonts w:ascii="Calibri" w:cs="Calibri" w:eastAsia="Calibri" w:hAnsi="Calibri"/>
                <w:b/>
                <w:bCs/>
                <w:color w:val="FFFFFF"/>
                <w:sz w:val="21"/>
                <w:szCs w:val="21"/>
              </w:rPr>
              <w:t xml:space="preserve">ECP6 Reading Transfer Fall</w:t>
            </w:r>
          </w:p>
        </w:tc>
      </w:tr>
      <w:tr>
        <w:tc>
          <w:tcPr>
            <w:tcW w:type="dxa" w:w="9360"/>
            <w:tcBorders>
              <w:top w:val="nil"/>
              <w:left w:val="single" w:color="C8940A" w:sz="4"/>
              <w:bottom w:val="single" w:color="D0DCE8" w:sz="2"/>
              <w:right w:val="single" w:color="C8940A" w:sz="4"/>
            </w:tcBorders>
            <w:shd w:fill="FFFFFF" w:val="clear"/>
            <w:tcMar>
              <w:top w:type="dxa" w:w="80"/>
              <w:left w:type="dxa" w:w="180"/>
              <w:bottom w:type="dxa" w:w="80"/>
              <w:right w:type="dxa" w:w="180"/>
            </w:tcMar>
          </w:tcPr>
          <w:p>
            <w:pPr>
              <w:spacing w:after="50" w:before="0"/>
            </w:pPr>
            <w:r>
              <w:rPr>
                <w:rFonts w:ascii="Calibri" w:cs="Calibri" w:eastAsia="Calibri" w:hAnsi="Calibri"/>
                <w:color w:val="5A6E7F"/>
                <w:sz w:val="19"/>
                <w:szCs w:val="19"/>
              </w:rPr>
              <w:t xml:space="preserve">word → phrase → sentence</w:t>
            </w:r>
          </w:p>
          <w:p>
            <w:pPr>
              <w:pStyle w:val="ListParagraph"/>
              <w:numPr>
                <w:ilvl w:val="0"/>
                <w:numId w:val="2"/>
              </w:numPr>
              <w:spacing w:after="35" w:before="35" w:line="252"/>
            </w:pPr>
            <w:r>
              <w:rPr>
                <w:rFonts w:ascii="Calibri" w:cs="Calibri" w:eastAsia="Calibri" w:hAnsi="Calibri"/>
                <w:color w:val="1F2D3A"/>
                <w:sz w:val="19"/>
                <w:szCs w:val="19"/>
              </w:rPr>
              <w:t xml:space="preserve">Word Space: teacher models target words first; students practice on tablets</w:t>
            </w:r>
          </w:p>
          <w:p>
            <w:pPr>
              <w:pStyle w:val="ListParagraph"/>
              <w:numPr>
                <w:ilvl w:val="0"/>
                <w:numId w:val="2"/>
              </w:numPr>
              <w:spacing w:after="35" w:before="35" w:line="252"/>
            </w:pPr>
            <w:r>
              <w:rPr>
                <w:rFonts w:ascii="Calibri" w:cs="Calibri" w:eastAsia="Calibri" w:hAnsi="Calibri"/>
                <w:color w:val="1F2D3A"/>
                <w:sz w:val="19"/>
                <w:szCs w:val="19"/>
              </w:rPr>
              <w:t xml:space="preserve">Phrase Sky: students match each target word into the correct phrase frame and read it aloud</w:t>
            </w:r>
          </w:p>
          <w:p>
            <w:pPr>
              <w:pStyle w:val="ListParagraph"/>
              <w:numPr>
                <w:ilvl w:val="0"/>
                <w:numId w:val="2"/>
              </w:numPr>
              <w:spacing w:after="35" w:before="35" w:line="252"/>
            </w:pPr>
            <w:r>
              <w:rPr>
                <w:rFonts w:ascii="Calibri" w:cs="Calibri" w:eastAsia="Calibri" w:hAnsi="Calibri"/>
                <w:color w:val="1F2D3A"/>
                <w:sz w:val="19"/>
                <w:szCs w:val="19"/>
              </w:rPr>
              <w:t xml:space="preserve">Sentence Earth: students move the phrase into full sentence frames — the same decoded language now lands in meaning-bearing sentences</w:t>
            </w:r>
          </w:p>
          <w:p>
            <w:pPr>
              <w:pStyle w:val="ListParagraph"/>
              <w:numPr>
                <w:ilvl w:val="0"/>
                <w:numId w:val="2"/>
              </w:numPr>
              <w:spacing w:after="35" w:before="35" w:line="252"/>
            </w:pPr>
            <w:r>
              <w:rPr>
                <w:rFonts w:ascii="Calibri" w:cs="Calibri" w:eastAsia="Calibri" w:hAnsi="Calibri"/>
                <w:color w:val="1F2D3A"/>
                <w:sz w:val="19"/>
                <w:szCs w:val="19"/>
              </w:rPr>
              <w:t xml:space="preserve">Logs mismatch data in a phonics profile, functioning as both practice and diagnostic tool</w:t>
            </w:r>
          </w:p>
        </w:tc>
      </w:tr>
      <w:tr>
        <w:tc>
          <w:tcPr>
            <w:tcW w:type="dxa" w:w="9360"/>
            <w:tcBorders>
              <w:top w:val="nil"/>
              <w:left w:val="single" w:color="C8940A" w:sz="4"/>
              <w:bottom w:val="single" w:color="C8940A" w:sz="4"/>
              <w:right w:val="single" w:color="C8940A" w:sz="4"/>
            </w:tcBorders>
            <w:shd w:fill="FDF6E3" w:val="clear"/>
            <w:tcMar>
              <w:top w:type="dxa" w:w="70"/>
              <w:left w:type="dxa" w:w="180"/>
              <w:bottom w:type="dxa" w:w="70"/>
              <w:right w:type="dxa" w:w="180"/>
            </w:tcMar>
          </w:tcPr>
          <w:p>
            <w:r>
              <w:rPr>
                <w:rFonts w:ascii="Calibri" w:cs="Calibri" w:eastAsia="Calibri" w:hAnsi="Calibri"/>
                <w:b/>
                <w:bCs/>
                <w:color w:val="17385A"/>
                <w:sz w:val="19"/>
                <w:szCs w:val="19"/>
              </w:rPr>
              <w:t xml:space="preserve">Instructional role: </w:t>
            </w:r>
            <w:r>
              <w:rPr>
                <w:rFonts w:ascii="Calibri" w:cs="Calibri" w:eastAsia="Calibri" w:hAnsi="Calibri"/>
                <w:color w:val="1F2D3A"/>
                <w:sz w:val="19"/>
                <w:szCs w:val="19"/>
              </w:rPr>
              <w:t xml:space="preserve">develops decoding transfer into connected language — the visual metaphor (space → sky → earth) makes the instructional progression visible.</w:t>
            </w:r>
          </w:p>
        </w:tc>
      </w:tr>
    </w:tbl>
    <w:p>
      <w:pPr>
        <w:spacing w:after="0" w:before="120"/>
      </w:pPr>
    </w:p>
    <w:p>
      <w:pPr>
        <w:pBdr>
          <w:bottom w:val="single" w:color="C8940A" w:sz="6" w:space="3"/>
        </w:pBdr>
        <w:spacing w:after="60" w:before="200"/>
      </w:pPr>
      <w:r>
        <w:rPr>
          <w:rFonts w:ascii="Calibri" w:cs="Calibri" w:eastAsia="Calibri" w:hAnsi="Calibri"/>
          <w:b/>
          <w:bCs/>
          <w:color w:val="17385A"/>
          <w:sz w:val="24"/>
          <w:szCs w:val="24"/>
        </w:rPr>
        <w:t xml:space="preserve">Why This Matters</w:t>
      </w:r>
    </w:p>
    <w:p>
      <w:pPr>
        <w:spacing w:after="0" w:before="40"/>
      </w:pPr>
    </w:p>
    <w:p>
      <w:pPr>
        <w:spacing w:after="60" w:before="60" w:line="268"/>
        <w:jc w:val="both"/>
      </w:pPr>
      <w:r>
        <w:rPr>
          <w:rFonts w:ascii="Calibri" w:cs="Calibri" w:eastAsia="Calibri" w:hAnsi="Calibri"/>
          <w:color w:val="1F2D3A"/>
          <w:sz w:val="21"/>
          <w:szCs w:val="21"/>
        </w:rPr>
        <w:t xml:space="preserve">Together, these activities show a strong product direction. They do not treat phonics as a flat worksheet exercise — they treat it as a progression from sound control to transferable language use.</w:t>
      </w:r>
    </w:p>
    <w:p>
      <w:pPr>
        <w:spacing w:after="60" w:before="60" w:line="268"/>
        <w:jc w:val="both"/>
      </w:pPr>
      <w:r>
        <w:rPr>
          <w:rFonts w:ascii="Calibri" w:cs="Calibri" w:eastAsia="Calibri" w:hAnsi="Calibri"/>
          <w:color w:val="1F2D3A"/>
          <w:sz w:val="21"/>
          <w:szCs w:val="21"/>
        </w:rPr>
        <w:t xml:space="preserve">The continuous blending slider builds the foundation. The spelling transfer train develops encoding transfer. The reading transfer fall develops decoding transfer into connected language. As a set, they represent a coherent instructional model: teach the sound pattern clearly, reduce unnecessary load early, require active manipulation, and push the learner to reuse the same pattern in increasingly meaningful contexts.</w:t>
      </w:r>
    </w:p>
    <w:p>
      <w:pPr>
        <w:spacing w:after="0" w:before="60"/>
      </w:pPr>
    </w:p>
    <w:p>
      <w:pPr>
        <w:spacing w:after="40" w:before="120"/>
      </w:pPr>
      <w:r>
        <w:rPr>
          <w:rFonts w:ascii="Calibri" w:cs="Calibri" w:eastAsia="Calibri" w:hAnsi="Calibri"/>
          <w:b/>
          <w:bCs/>
          <w:color w:val="2A6FB0"/>
          <w:sz w:val="21"/>
          <w:szCs w:val="21"/>
        </w:rPr>
        <w:t xml:space="preserve">Why the Activity Format Matters for Students</w:t>
      </w:r>
    </w:p>
    <w:p>
      <w:pPr>
        <w:spacing w:after="60" w:before="60" w:line="268"/>
        <w:jc w:val="both"/>
      </w:pPr>
      <w:r>
        <w:rPr>
          <w:rFonts w:ascii="Calibri" w:cs="Calibri" w:eastAsia="Calibri" w:hAnsi="Calibri"/>
          <w:color w:val="1F2D3A"/>
          <w:sz w:val="21"/>
          <w:szCs w:val="21"/>
        </w:rPr>
        <w:t xml:space="preserve">Students are not only listening and repeating — they are sliding, dragging, matching, building, revealing, and completing tasks. When students are more engaged, they attend longer, participate more willingly, tolerate repetition better, and practice the target pattern more times without the same fatigue. Interactive activity formats make structured phonics study feel more alive without sacrificing instructional precision.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385A" w:sz="4"/>
              <w:left w:val="single" w:color="17385A" w:sz="4"/>
              <w:bottom w:val="single" w:color="17385A" w:sz="4"/>
              <w:right w:val="single" w:color="17385A" w:sz="4"/>
            </w:tcBorders>
            <w:shd w:fill="17385A" w:val="clear"/>
            <w:tcMar>
              <w:top w:type="dxa" w:w="120"/>
              <w:left w:type="dxa" w:w="180"/>
              <w:bottom w:type="dxa" w:w="120"/>
              <w:right w:type="dxa" w:w="180"/>
            </w:tcMar>
          </w:tcPr>
          <w:p>
            <w:pPr>
              <w:spacing w:after="50" w:before="0"/>
            </w:pPr>
            <w:r>
              <w:rPr>
                <w:rFonts w:ascii="Calibri" w:cs="Calibri" w:eastAsia="Calibri" w:hAnsi="Calibri"/>
                <w:b/>
                <w:bCs/>
                <w:color w:val="C8940A"/>
                <w:sz w:val="17"/>
                <w:szCs w:val="17"/>
              </w:rPr>
              <w:t xml:space="preserve">DRAFT POSITIONING LINE</w:t>
            </w:r>
          </w:p>
          <w:p>
            <w:pPr>
              <w:jc w:val="both"/>
            </w:pPr>
            <w:r>
              <w:rPr>
                <w:rFonts w:ascii="Calibri" w:cs="Calibri" w:eastAsia="Calibri" w:hAnsi="Calibri"/>
                <w:b/>
                <w:bCs/>
                <w:color w:val="FFFFFF"/>
                <w:sz w:val="23"/>
                <w:szCs w:val="23"/>
              </w:rPr>
              <w:t xml:space="preserve">These activities are designed to move students from phonics performance to phonics transfer by helping them hear, build, read, and use the same target pattern across word-, phrase-, and sentence-level tasks.</w:t>
            </w:r>
          </w:p>
        </w:tc>
      </w:tr>
    </w:tbl>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40A" w:sz="6" w:space="3"/>
      </w:pBdr>
      <w:jc w:val="right"/>
    </w:pPr>
    <w:r>
      <w:rPr>
        <w:rFonts w:ascii="Calibri" w:cs="Calibri" w:eastAsia="Calibri" w:hAnsi="Calibri"/>
        <w:color w:val="5A6E7F"/>
        <w:sz w:val="17"/>
        <w:szCs w:val="17"/>
      </w:rPr>
      <w:t xml:space="preserve">Page </w:t>
    </w:r>
    <w:r>
      <w:rPr>
        <w:rFonts w:ascii="Calibri" w:cs="Calibri" w:eastAsia="Calibri" w:hAnsi="Calibri"/>
        <w:color w:val="5A6E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40A" w:sz="6" w:space="3"/>
      </w:pBdr>
    </w:pPr>
    <w:r>
      <w:rPr>
        <w:rFonts w:ascii="Calibri" w:cs="Calibri" w:eastAsia="Calibri" w:hAnsi="Calibri"/>
        <w:color w:val="5A6E7F"/>
        <w:sz w:val="17"/>
        <w:szCs w:val="17"/>
      </w:rPr>
      <w:t xml:space="preserve">POLY Phonics AI  ·  </w:t>
    </w:r>
    <w:r>
      <w:rPr>
        <w:rFonts w:ascii="Calibri" w:cs="Calibri" w:eastAsia="Calibri" w:hAnsi="Calibri"/>
        <w:color w:val="5A6E7F"/>
        <w:sz w:val="17"/>
        <w:szCs w:val="17"/>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D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2026-06-05T04:33:11.413Z</dcterms:created>
  <dcterms:modified xsi:type="dcterms:W3CDTF">2026-06-05T04:33:11.414Z</dcterms:modified>
</cp:coreProperties>
</file>

<file path=docProps/custom.xml><?xml version="1.0" encoding="utf-8"?>
<Properties xmlns="http://schemas.openxmlformats.org/officeDocument/2006/custom-properties" xmlns:vt="http://schemas.openxmlformats.org/officeDocument/2006/docPropsVTypes"/>
</file>