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2CE1" w:rsidRDefault="004E329A">
      <w:pPr>
        <w:rPr>
          <w:rFonts w:ascii="Arial" w:hAnsi="Arial" w:cs="Arial"/>
          <w:color w:val="FF0000"/>
          <w:sz w:val="36"/>
        </w:rPr>
      </w:pPr>
      <w:r w:rsidRPr="004E329A">
        <w:rPr>
          <w:rFonts w:ascii="Arial" w:hAnsi="Arial" w:cs="Arial"/>
          <w:color w:val="FF0000"/>
          <w:sz w:val="36"/>
        </w:rPr>
        <w:t>SECCIÓN 10</w:t>
      </w:r>
    </w:p>
    <w:p w:rsidR="004E329A" w:rsidRPr="004E329A" w:rsidRDefault="004E329A">
      <w:pPr>
        <w:rPr>
          <w:rFonts w:ascii="Arial" w:hAnsi="Arial" w:cs="Arial"/>
          <w:color w:val="FF0000"/>
          <w:sz w:val="32"/>
        </w:rPr>
      </w:pPr>
      <w:r w:rsidRPr="004E329A">
        <w:rPr>
          <w:rFonts w:ascii="Arial" w:hAnsi="Arial" w:cs="Arial"/>
          <w:color w:val="FF0000"/>
          <w:sz w:val="32"/>
        </w:rPr>
        <w:t>MEDOTOS EN JAVA</w:t>
      </w:r>
    </w:p>
    <w:p w:rsidR="004E329A" w:rsidRPr="004E329A" w:rsidRDefault="004E329A">
      <w:pPr>
        <w:rPr>
          <w:rFonts w:ascii="Arial" w:hAnsi="Arial" w:cs="Arial"/>
          <w:color w:val="FF0000"/>
          <w:sz w:val="36"/>
        </w:rPr>
      </w:pPr>
      <w:r>
        <w:rPr>
          <w:noProof/>
          <w:lang w:eastAsia="es-MX"/>
        </w:rPr>
        <w:drawing>
          <wp:inline distT="0" distB="0" distL="0" distR="0" wp14:anchorId="195671A2" wp14:editId="4DAAB29A">
            <wp:extent cx="5609230" cy="3201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21" t="11890" r="8544"/>
                    <a:stretch/>
                  </pic:blipFill>
                  <pic:spPr bwMode="auto">
                    <a:xfrm>
                      <a:off x="0" y="0"/>
                      <a:ext cx="5617816" cy="320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r w:rsidRPr="004E329A">
        <w:rPr>
          <w:rFonts w:ascii="Arial" w:hAnsi="Arial" w:cs="Arial"/>
          <w:sz w:val="24"/>
          <w:szCs w:val="24"/>
        </w:rPr>
        <w:t xml:space="preserve">También es común en Java </w:t>
      </w:r>
      <w:r w:rsidRPr="004E329A">
        <w:rPr>
          <w:rFonts w:ascii="Arial" w:hAnsi="Arial" w:cs="Arial"/>
          <w:sz w:val="24"/>
          <w:szCs w:val="24"/>
        </w:rPr>
        <w:t xml:space="preserve">utilizar la notación de camello </w:t>
      </w:r>
      <w:r w:rsidRPr="004E329A">
        <w:rPr>
          <w:rFonts w:ascii="Arial" w:hAnsi="Arial" w:cs="Arial"/>
          <w:sz w:val="24"/>
          <w:szCs w:val="24"/>
        </w:rPr>
        <w:t>para escribir los nombres tanto de variables como de métodos, y en general de los nombre</w:t>
      </w:r>
      <w:r w:rsidRPr="004E329A">
        <w:rPr>
          <w:rFonts w:ascii="Arial" w:hAnsi="Arial" w:cs="Arial"/>
          <w:sz w:val="24"/>
          <w:szCs w:val="24"/>
        </w:rPr>
        <w:t xml:space="preserve">s que escribimos. Esta notación </w:t>
      </w:r>
      <w:r w:rsidRPr="004E329A">
        <w:rPr>
          <w:rFonts w:ascii="Arial" w:hAnsi="Arial" w:cs="Arial"/>
          <w:sz w:val="24"/>
          <w:szCs w:val="24"/>
        </w:rPr>
        <w:t>consiste en escribir la primera letra en minúscula y posteriormente la primera letra de cada palabra debe ir en mayúscula.</w:t>
      </w:r>
    </w:p>
    <w:bookmarkEnd w:id="0"/>
    <w:p w:rsidR="004E329A" w:rsidRDefault="004E329A" w:rsidP="004E329A">
      <w:pPr>
        <w:autoSpaceDE w:val="0"/>
        <w:autoSpaceDN w:val="0"/>
        <w:adjustRightInd w:val="0"/>
        <w:spacing w:after="0" w:line="240" w:lineRule="auto"/>
        <w:rPr>
          <w:rFonts w:ascii="TT17A1o00" w:hAnsi="TT17A1o00" w:cs="TT17A1o00"/>
          <w:color w:val="7F7F7F"/>
          <w:sz w:val="19"/>
          <w:szCs w:val="19"/>
        </w:rPr>
      </w:pPr>
    </w:p>
    <w:p w:rsidR="004E329A" w:rsidRDefault="004E329A" w:rsidP="004E329A">
      <w:pPr>
        <w:autoSpaceDE w:val="0"/>
        <w:autoSpaceDN w:val="0"/>
        <w:adjustRightInd w:val="0"/>
        <w:spacing w:after="0" w:line="240" w:lineRule="auto"/>
        <w:rPr>
          <w:rFonts w:ascii="TT17A1o00" w:hAnsi="TT17A1o00" w:cs="TT17A1o00"/>
          <w:color w:val="7F7F7F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234717B5" wp14:editId="4B53E11A">
            <wp:extent cx="4804012" cy="2715904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02" t="12971" r="8188" b="981"/>
                    <a:stretch/>
                  </pic:blipFill>
                  <pic:spPr bwMode="auto">
                    <a:xfrm>
                      <a:off x="0" y="0"/>
                      <a:ext cx="4804557" cy="271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29A" w:rsidRDefault="004E329A" w:rsidP="004E329A">
      <w:pPr>
        <w:autoSpaceDE w:val="0"/>
        <w:autoSpaceDN w:val="0"/>
        <w:adjustRightInd w:val="0"/>
        <w:spacing w:after="0" w:line="240" w:lineRule="auto"/>
        <w:rPr>
          <w:rFonts w:ascii="TT17A1o00" w:hAnsi="TT17A1o00" w:cs="TT17A1o00"/>
          <w:color w:val="7F7F7F"/>
          <w:sz w:val="19"/>
          <w:szCs w:val="19"/>
        </w:rPr>
      </w:pP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E329A">
        <w:rPr>
          <w:rFonts w:ascii="Arial" w:hAnsi="Arial" w:cs="Arial"/>
          <w:sz w:val="24"/>
          <w:szCs w:val="24"/>
        </w:rPr>
        <w:t>Una vez que hemos agregado un método a una clase, podemos hacer uso de él haciendo lo siguiente:</w:t>
      </w: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E329A">
        <w:rPr>
          <w:rFonts w:ascii="Arial" w:hAnsi="Arial" w:cs="Arial"/>
          <w:sz w:val="24"/>
          <w:szCs w:val="24"/>
        </w:rPr>
        <w:t>1) Debemos declarar un objeto del tipo de la clase que tiene el método que nos interesa utilizar.</w:t>
      </w: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E329A">
        <w:rPr>
          <w:rFonts w:ascii="Arial" w:hAnsi="Arial" w:cs="Arial"/>
          <w:sz w:val="24"/>
          <w:szCs w:val="24"/>
        </w:rPr>
        <w:t xml:space="preserve">2) Por medio del objeto declarado, utilizamos el operador punto </w:t>
      </w:r>
      <w:r w:rsidRPr="004E329A">
        <w:rPr>
          <w:rFonts w:ascii="Arial" w:hAnsi="Arial" w:cs="Arial"/>
          <w:sz w:val="24"/>
          <w:szCs w:val="24"/>
        </w:rPr>
        <w:t xml:space="preserve">(.) y posterior a este operador </w:t>
      </w:r>
      <w:r w:rsidRPr="004E329A">
        <w:rPr>
          <w:rFonts w:ascii="Arial" w:hAnsi="Arial" w:cs="Arial"/>
          <w:sz w:val="24"/>
          <w:szCs w:val="24"/>
        </w:rPr>
        <w:t>escribimos el nombre del método que nos interesa llamar. Recordem</w:t>
      </w:r>
      <w:r w:rsidRPr="004E329A">
        <w:rPr>
          <w:rFonts w:ascii="Arial" w:hAnsi="Arial" w:cs="Arial"/>
          <w:sz w:val="24"/>
          <w:szCs w:val="24"/>
        </w:rPr>
        <w:t xml:space="preserve">os </w:t>
      </w:r>
      <w:proofErr w:type="gramStart"/>
      <w:r w:rsidRPr="004E329A">
        <w:rPr>
          <w:rFonts w:ascii="Arial" w:hAnsi="Arial" w:cs="Arial"/>
          <w:sz w:val="24"/>
          <w:szCs w:val="24"/>
        </w:rPr>
        <w:t>que</w:t>
      </w:r>
      <w:proofErr w:type="gramEnd"/>
      <w:r w:rsidRPr="004E329A">
        <w:rPr>
          <w:rFonts w:ascii="Arial" w:hAnsi="Arial" w:cs="Arial"/>
          <w:sz w:val="24"/>
          <w:szCs w:val="24"/>
        </w:rPr>
        <w:t xml:space="preserve"> en Java, los nombres son </w:t>
      </w:r>
      <w:r w:rsidRPr="004E329A">
        <w:rPr>
          <w:rFonts w:ascii="Arial" w:hAnsi="Arial" w:cs="Arial"/>
          <w:sz w:val="24"/>
          <w:szCs w:val="24"/>
        </w:rPr>
        <w:t xml:space="preserve">sensibles a mayúsculas y minúsculas, por lo que debemos de hacer la llamada al </w:t>
      </w:r>
      <w:r w:rsidRPr="004E329A">
        <w:rPr>
          <w:rFonts w:ascii="Arial" w:hAnsi="Arial" w:cs="Arial"/>
          <w:sz w:val="24"/>
          <w:szCs w:val="24"/>
        </w:rPr>
        <w:t xml:space="preserve">método tal y como lo hayamos escrito, respetando las </w:t>
      </w:r>
      <w:r w:rsidRPr="004E329A">
        <w:rPr>
          <w:rFonts w:ascii="Arial" w:hAnsi="Arial" w:cs="Arial"/>
          <w:sz w:val="24"/>
          <w:szCs w:val="24"/>
        </w:rPr>
        <w:t>mayúsculas y minúsculas que ha</w:t>
      </w:r>
      <w:r w:rsidRPr="004E329A">
        <w:rPr>
          <w:rFonts w:ascii="Arial" w:hAnsi="Arial" w:cs="Arial"/>
          <w:sz w:val="24"/>
          <w:szCs w:val="24"/>
        </w:rPr>
        <w:t xml:space="preserve">yamos utilizado para definir el </w:t>
      </w:r>
      <w:r w:rsidRPr="004E329A">
        <w:rPr>
          <w:rFonts w:ascii="Arial" w:hAnsi="Arial" w:cs="Arial"/>
          <w:sz w:val="24"/>
          <w:szCs w:val="24"/>
        </w:rPr>
        <w:t>método.</w:t>
      </w: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E329A">
        <w:rPr>
          <w:rFonts w:ascii="Arial" w:hAnsi="Arial" w:cs="Arial"/>
          <w:sz w:val="24"/>
          <w:szCs w:val="24"/>
        </w:rPr>
        <w:t>3) Posterior del nombre del método, abrimos y cerramos paréntesis. Si el método no recibe ningún</w:t>
      </w: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E329A">
        <w:rPr>
          <w:rFonts w:ascii="Arial" w:hAnsi="Arial" w:cs="Arial"/>
          <w:sz w:val="24"/>
          <w:szCs w:val="24"/>
        </w:rPr>
        <w:t xml:space="preserve">argumento, solo abrimos y cerramos paréntesis, sin </w:t>
      </w:r>
      <w:proofErr w:type="gramStart"/>
      <w:r w:rsidRPr="004E329A">
        <w:rPr>
          <w:rFonts w:ascii="Arial" w:hAnsi="Arial" w:cs="Arial"/>
          <w:sz w:val="24"/>
          <w:szCs w:val="24"/>
        </w:rPr>
        <w:t>embargo</w:t>
      </w:r>
      <w:proofErr w:type="gramEnd"/>
      <w:r w:rsidRPr="004E329A">
        <w:rPr>
          <w:rFonts w:ascii="Arial" w:hAnsi="Arial" w:cs="Arial"/>
          <w:sz w:val="24"/>
          <w:szCs w:val="24"/>
        </w:rPr>
        <w:t xml:space="preserve"> si el método fue escrito para recibir</w:t>
      </w: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E329A">
        <w:rPr>
          <w:rFonts w:ascii="Arial" w:hAnsi="Arial" w:cs="Arial"/>
          <w:sz w:val="24"/>
          <w:szCs w:val="24"/>
        </w:rPr>
        <w:t>argumentos, debemos proporcionar los argumentos del tipo esperado, separando por comas cada uno</w:t>
      </w: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E329A">
        <w:rPr>
          <w:rFonts w:ascii="Arial" w:hAnsi="Arial" w:cs="Arial"/>
          <w:sz w:val="24"/>
          <w:szCs w:val="24"/>
        </w:rPr>
        <w:t>de ellos.</w:t>
      </w: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E329A">
        <w:rPr>
          <w:rFonts w:ascii="Arial" w:hAnsi="Arial" w:cs="Arial"/>
          <w:sz w:val="24"/>
          <w:szCs w:val="24"/>
        </w:rPr>
        <w:t xml:space="preserve">4) Finalmente, si el método fue escrito para regresar un valor, es opcional el recibirlo </w:t>
      </w:r>
      <w:r w:rsidRPr="004E329A">
        <w:rPr>
          <w:rFonts w:ascii="Arial" w:hAnsi="Arial" w:cs="Arial"/>
          <w:sz w:val="24"/>
          <w:szCs w:val="24"/>
        </w:rPr>
        <w:t xml:space="preserve">con una variable del </w:t>
      </w:r>
      <w:r w:rsidRPr="004E329A">
        <w:rPr>
          <w:rFonts w:ascii="Arial" w:hAnsi="Arial" w:cs="Arial"/>
          <w:sz w:val="24"/>
          <w:szCs w:val="24"/>
        </w:rPr>
        <w:t>tipo que regresa el método. Deb</w:t>
      </w:r>
      <w:r w:rsidRPr="004E329A">
        <w:rPr>
          <w:rFonts w:ascii="Arial" w:hAnsi="Arial" w:cs="Arial"/>
          <w:sz w:val="24"/>
          <w:szCs w:val="24"/>
        </w:rPr>
        <w:t xml:space="preserve">emos notar que el tipo devuelto </w:t>
      </w:r>
      <w:r w:rsidRPr="004E329A">
        <w:rPr>
          <w:rFonts w:ascii="Arial" w:hAnsi="Arial" w:cs="Arial"/>
          <w:sz w:val="24"/>
          <w:szCs w:val="24"/>
        </w:rPr>
        <w:t>por u</w:t>
      </w:r>
      <w:r w:rsidRPr="004E329A">
        <w:rPr>
          <w:rFonts w:ascii="Arial" w:hAnsi="Arial" w:cs="Arial"/>
          <w:sz w:val="24"/>
          <w:szCs w:val="24"/>
        </w:rPr>
        <w:t xml:space="preserve">n método no tiene que ser igual </w:t>
      </w:r>
      <w:r w:rsidRPr="004E329A">
        <w:rPr>
          <w:rFonts w:ascii="Arial" w:hAnsi="Arial" w:cs="Arial"/>
          <w:sz w:val="24"/>
          <w:szCs w:val="24"/>
        </w:rPr>
        <w:t xml:space="preserve">a los tipos de los argumentos recibidos. Para ello debemos observar </w:t>
      </w:r>
      <w:r w:rsidRPr="004E329A">
        <w:rPr>
          <w:rFonts w:ascii="Arial" w:hAnsi="Arial" w:cs="Arial"/>
          <w:sz w:val="24"/>
          <w:szCs w:val="24"/>
        </w:rPr>
        <w:t xml:space="preserve">la firma del método que vayamos </w:t>
      </w:r>
      <w:r w:rsidRPr="004E329A">
        <w:rPr>
          <w:rFonts w:ascii="Arial" w:hAnsi="Arial" w:cs="Arial"/>
          <w:sz w:val="24"/>
          <w:szCs w:val="24"/>
        </w:rPr>
        <w:t>a utilizar. Si recordamos, la firma del método sumar sería:</w:t>
      </w: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4E329A" w:rsidRPr="004E329A" w:rsidRDefault="004E329A" w:rsidP="004E32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E329A">
        <w:rPr>
          <w:rFonts w:ascii="Arial" w:hAnsi="Arial" w:cs="Arial"/>
          <w:sz w:val="24"/>
          <w:szCs w:val="24"/>
        </w:rPr>
        <w:t>int</w:t>
      </w:r>
      <w:proofErr w:type="spellEnd"/>
      <w:r w:rsidRPr="004E329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4E329A">
        <w:rPr>
          <w:rFonts w:ascii="Arial" w:hAnsi="Arial" w:cs="Arial"/>
          <w:sz w:val="24"/>
          <w:szCs w:val="24"/>
        </w:rPr>
        <w:t>sumar(</w:t>
      </w:r>
      <w:proofErr w:type="spellStart"/>
      <w:proofErr w:type="gramEnd"/>
      <w:r w:rsidRPr="004E329A">
        <w:rPr>
          <w:rFonts w:ascii="Arial" w:hAnsi="Arial" w:cs="Arial"/>
          <w:sz w:val="24"/>
          <w:szCs w:val="24"/>
        </w:rPr>
        <w:t>int</w:t>
      </w:r>
      <w:proofErr w:type="spellEnd"/>
      <w:r w:rsidRPr="004E329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E329A">
        <w:rPr>
          <w:rFonts w:ascii="Arial" w:hAnsi="Arial" w:cs="Arial"/>
          <w:sz w:val="24"/>
          <w:szCs w:val="24"/>
        </w:rPr>
        <w:t>int</w:t>
      </w:r>
      <w:proofErr w:type="spellEnd"/>
      <w:r w:rsidRPr="004E329A">
        <w:rPr>
          <w:rFonts w:ascii="Arial" w:hAnsi="Arial" w:cs="Arial"/>
          <w:sz w:val="24"/>
          <w:szCs w:val="24"/>
        </w:rPr>
        <w:t>); //firma del método</w:t>
      </w:r>
    </w:p>
    <w:sectPr w:rsidR="004E329A" w:rsidRPr="004E32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17A1o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29A"/>
    <w:rsid w:val="000A2CE1"/>
    <w:rsid w:val="004E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4A132"/>
  <w15:chartTrackingRefBased/>
  <w15:docId w15:val="{7AEAB51F-4E0E-48D3-9E7E-08A564C6E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251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VIOLETA ORTEGA PAREDES</dc:creator>
  <cp:keywords/>
  <dc:description/>
  <cp:lastModifiedBy>BRENDA VIOLETA ORTEGA PAREDES</cp:lastModifiedBy>
  <cp:revision>1</cp:revision>
  <dcterms:created xsi:type="dcterms:W3CDTF">2019-06-11T21:17:00Z</dcterms:created>
  <dcterms:modified xsi:type="dcterms:W3CDTF">2019-06-11T21:28:00Z</dcterms:modified>
</cp:coreProperties>
</file>