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36"/>
        </w:rPr>
        <w:t>Predicting Employee Turnover: A Statistical Analysis</w:t>
        <w:br/>
        <w:t>of Workforce Attrition Factors</w:t>
      </w:r>
    </w:p>
    <w:p>
      <w:pPr>
        <w:spacing w:after="200"/>
        <w:jc w:val="center"/>
      </w:pPr>
      <w:r>
        <w:rPr>
          <w:rFonts w:ascii="Times New Roman" w:hAnsi="Times New Roman"/>
          <w:b w:val="0"/>
          <w:i w:val="0"/>
          <w:sz w:val="22"/>
        </w:rPr>
        <w:t>Brenda Murillo</w:t>
        <w:br/>
      </w:r>
      <w:r>
        <w:rPr>
          <w:rFonts w:ascii="Times New Roman" w:hAnsi="Times New Roman"/>
          <w:b w:val="0"/>
          <w:i/>
          <w:sz w:val="20"/>
        </w:rPr>
        <w:t>Dept. of Computer and Electrical Engineering and Computer Science</w:t>
        <w:br/>
      </w:r>
      <w:r>
        <w:rPr>
          <w:rFonts w:ascii="Times New Roman" w:hAnsi="Times New Roman"/>
          <w:b w:val="0"/>
          <w:i/>
          <w:sz w:val="20"/>
        </w:rPr>
        <w:t>California State University, Bakersfield</w:t>
        <w:br/>
      </w:r>
      <w:r>
        <w:rPr>
          <w:rFonts w:ascii="Times New Roman" w:hAnsi="Times New Roman"/>
          <w:b w:val="0"/>
          <w:i w:val="0"/>
          <w:sz w:val="20"/>
        </w:rPr>
        <w:t>Bakersfield, CA, USA</w:t>
        <w:br/>
      </w:r>
      <w:r>
        <w:rPr>
          <w:rFonts w:ascii="Times New Roman" w:hAnsi="Times New Roman"/>
          <w:b w:val="0"/>
          <w:i w:val="0"/>
          <w:sz w:val="20"/>
        </w:rPr>
        <w:t>bmurillo3@csub.edu</w:t>
      </w:r>
    </w:p>
    <w:p>
      <w:pPr>
        <w:spacing w:after="80"/>
        <w:jc w:val="both"/>
      </w:pPr>
      <w:r>
        <w:rPr>
          <w:rFonts w:ascii="Times New Roman" w:hAnsi="Times New Roman"/>
          <w:b/>
          <w:i/>
          <w:sz w:val="20"/>
        </w:rPr>
        <w:t>Abstract—</w:t>
      </w:r>
      <w:r>
        <w:rPr>
          <w:rFonts w:ascii="Times New Roman" w:hAnsi="Times New Roman"/>
          <w:b/>
          <w:i w:val="0"/>
          <w:sz w:val="20"/>
        </w:rPr>
        <w:t>Employee turnover represents one of the most persistent and costly challenges facing organizations today, yet most retention strategies rely on intuition rather than data. This paper presents a statistical analysis of workforce attrition using an HR dataset of 14,999 employee records drawn from Kaggle. We apply descriptive statistics, relational database querying (SQLite), correlation analysis, and visual analysis to identify the factors most strongly associated with employee departure. Our findings reveal an overall turnover rate of 23.81%, with low-salary employees leaving at nearly 30%—more than four times the rate of high-salary employees. Job satisfaction emerges as the single strongest predictor (r = −0.388); employees who left averaged a satisfaction score of 0.44 compared to 0.67 for those who stayed. We further identify 615 current employees who match a high-risk churn profile. These findings provide HR departments with actionable, data-driven criteria for early intervention and targeted retention strategies.</w:t>
      </w:r>
    </w:p>
    <w:p>
      <w:pPr>
        <w:spacing w:after="160"/>
        <w:jc w:val="both"/>
      </w:pPr>
      <w:r>
        <w:rPr>
          <w:rFonts w:ascii="Times New Roman" w:hAnsi="Times New Roman"/>
          <w:b/>
          <w:i/>
          <w:sz w:val="20"/>
        </w:rPr>
        <w:t>Index Terms—</w:t>
      </w:r>
      <w:r>
        <w:rPr>
          <w:rFonts w:ascii="Times New Roman" w:hAnsi="Times New Roman"/>
          <w:b/>
          <w:i w:val="0"/>
          <w:sz w:val="20"/>
        </w:rPr>
        <w:t>employee turnover, workforce attrition, HR analytics, churn prediction, descriptive statistics, SQLite, data analysis</w:t>
      </w:r>
    </w:p>
    <w:p>
      <w:pPr>
        <w:spacing w:before="160" w:after="80"/>
        <w:jc w:val="center"/>
      </w:pPr>
      <w:r>
        <w:rPr>
          <w:rFonts w:ascii="Times New Roman" w:hAnsi="Times New Roman"/>
          <w:b/>
          <w:i w:val="0"/>
          <w:sz w:val="20"/>
        </w:rPr>
        <w:t>I.  INTRODUCTION</w:t>
      </w:r>
    </w:p>
    <w:p>
      <w:pPr>
        <w:spacing w:after="80"/>
        <w:ind w:firstLine="288"/>
        <w:jc w:val="both"/>
      </w:pPr>
      <w:r>
        <w:rPr>
          <w:rFonts w:ascii="Times New Roman" w:hAnsi="Times New Roman"/>
          <w:b w:val="0"/>
          <w:i w:val="0"/>
          <w:sz w:val="20"/>
        </w:rPr>
        <w:t>The cost of replacing an employee is widely estimated at between 50% and 200% of that employee's annual salary, accounting for recruiting, onboarding, lost productivity, and institutional knowledge transfer [2]. Yet despite this substantial burden, many organizations respond to turnover reactively—conducting exit interviews only after employees have already resigned, and implementing changes too late to retain the individuals who prompted them.</w:t>
      </w:r>
    </w:p>
    <w:p>
      <w:pPr>
        <w:spacing w:after="80"/>
        <w:ind w:firstLine="288"/>
        <w:jc w:val="both"/>
      </w:pPr>
      <w:r>
        <w:rPr>
          <w:rFonts w:ascii="Times New Roman" w:hAnsi="Times New Roman"/>
          <w:b w:val="0"/>
          <w:i w:val="0"/>
          <w:sz w:val="20"/>
        </w:rPr>
        <w:t>The central challenge is one of prediction: given observable workplace factors, can an organization identify which employees are most likely to leave before they submit their resignation? This problem is well-suited to data-driven analysis. Modern HR systems routinely capture variables such as satisfaction surveys, performance evaluations, compensation tiers, workload metrics, and promotion histories—precisely the kinds of signals that may indicate attrition risk.</w:t>
      </w:r>
    </w:p>
    <w:p>
      <w:pPr>
        <w:spacing w:after="80"/>
        <w:ind w:firstLine="288"/>
        <w:jc w:val="both"/>
      </w:pPr>
      <w:r>
        <w:rPr>
          <w:rFonts w:ascii="Times New Roman" w:hAnsi="Times New Roman"/>
          <w:b w:val="0"/>
          <w:i w:val="0"/>
          <w:sz w:val="20"/>
        </w:rPr>
        <w:t>This paper addresses that challenge by applying statistical analysis to an HR dataset containing records for 14,999 employees. We pursue four core research questions: (1) How strongly does salary level predict turnover? (2) What is the relationship between job satisfaction and departure? (3) Does workload influence turnover? (4) Can we identify current employees at high churn risk using observable characteristics?</w:t>
      </w:r>
    </w:p>
    <w:p>
      <w:pPr>
        <w:spacing w:after="80"/>
        <w:ind w:firstLine="288"/>
        <w:jc w:val="both"/>
      </w:pPr>
      <w:r>
        <w:rPr>
          <w:rFonts w:ascii="Times New Roman" w:hAnsi="Times New Roman"/>
          <w:b w:val="0"/>
          <w:i w:val="0"/>
          <w:sz w:val="20"/>
        </w:rPr>
        <w:t>Our approach is grounded in accessible statistical methods—descriptive statistics, group comparisons, correlation analysis, and SQL querying against a normalized relational database—rather than black-box machine learning models, making our findings interpretable and actionable for HR practitioners.</w:t>
      </w:r>
    </w:p>
    <w:p>
      <w:pPr>
        <w:spacing w:before="160" w:after="80"/>
        <w:jc w:val="center"/>
      </w:pPr>
      <w:r>
        <w:rPr>
          <w:rFonts w:ascii="Times New Roman" w:hAnsi="Times New Roman"/>
          <w:b/>
          <w:i w:val="0"/>
          <w:sz w:val="20"/>
        </w:rPr>
        <w:t>II.  RELATED WORK</w:t>
      </w:r>
    </w:p>
    <w:p>
      <w:pPr>
        <w:spacing w:after="80"/>
        <w:ind w:firstLine="288"/>
        <w:jc w:val="both"/>
      </w:pPr>
      <w:r>
        <w:rPr>
          <w:rFonts w:ascii="Times New Roman" w:hAnsi="Times New Roman"/>
          <w:b w:val="0"/>
          <w:i w:val="0"/>
          <w:sz w:val="20"/>
        </w:rPr>
        <w:t>Employee attrition prediction has been an active area of research in both human resources management and data science. Early work by Mobley [1] established a foundational behavioral model of turnover, identifying job dissatisfaction as the primary precursor to resignation. Griffeth, Hom, and Gaertner [2] confirmed through meta-analysis that satisfaction, pay, and workload are the most reliable predictors of departure across industries.</w:t>
      </w:r>
    </w:p>
    <w:p>
      <w:pPr>
        <w:spacing w:after="80"/>
        <w:ind w:firstLine="288"/>
        <w:jc w:val="both"/>
      </w:pPr>
      <w:r>
        <w:rPr>
          <w:rFonts w:ascii="Times New Roman" w:hAnsi="Times New Roman"/>
          <w:b w:val="0"/>
          <w:i w:val="0"/>
          <w:sz w:val="20"/>
        </w:rPr>
        <w:t>More recent computational approaches have applied supervised machine learning to HR datasets. Punnoose and Ajit [5] applied random forests and logistic regression to the same Kaggle HR dataset, achieving accuracies above 97%. Alduayj and Rajpoot [7] compared decision trees, SVMs, and neural networks, finding tree-based models consistently outperformed others on HR tabular data. Zhao et al. [6] demonstrated ensemble methods improve performance but at significant cost to interpretability [8].</w:t>
      </w:r>
    </w:p>
    <w:p>
      <w:pPr>
        <w:spacing w:after="80"/>
        <w:ind w:firstLine="288"/>
        <w:jc w:val="both"/>
      </w:pPr>
      <w:r>
        <w:rPr>
          <w:rFonts w:ascii="Times New Roman" w:hAnsi="Times New Roman"/>
          <w:b w:val="0"/>
          <w:i w:val="0"/>
          <w:sz w:val="20"/>
        </w:rPr>
        <w:t>Our work is positioned in the tradition of transparent statistical approaches that make decision criteria visible and reproducible by any analyst, prioritizing interpretability over predictive accuracy.</w:t>
      </w:r>
    </w:p>
    <w:p>
      <w:pPr>
        <w:spacing w:before="160" w:after="80"/>
        <w:jc w:val="center"/>
      </w:pPr>
      <w:r>
        <w:rPr>
          <w:rFonts w:ascii="Times New Roman" w:hAnsi="Times New Roman"/>
          <w:b/>
          <w:i w:val="0"/>
          <w:sz w:val="20"/>
        </w:rPr>
        <w:t>III.  DATASET</w:t>
      </w:r>
    </w:p>
    <w:p>
      <w:pPr>
        <w:spacing w:before="80" w:after="40"/>
        <w:jc w:val="left"/>
      </w:pPr>
      <w:r>
        <w:rPr>
          <w:rFonts w:ascii="Times New Roman" w:hAnsi="Times New Roman"/>
          <w:b w:val="0"/>
          <w:i/>
          <w:sz w:val="20"/>
        </w:rPr>
        <w:t xml:space="preserve">A.  </w:t>
      </w:r>
      <w:r>
        <w:rPr>
          <w:rFonts w:ascii="Times New Roman" w:hAnsi="Times New Roman"/>
          <w:b w:val="0"/>
          <w:i/>
          <w:sz w:val="20"/>
        </w:rPr>
        <w:t>Source and Scope</w:t>
      </w:r>
    </w:p>
    <w:p>
      <w:pPr>
        <w:spacing w:after="80"/>
        <w:ind w:firstLine="288"/>
        <w:jc w:val="both"/>
      </w:pPr>
      <w:r>
        <w:rPr>
          <w:rFonts w:ascii="Times New Roman" w:hAnsi="Times New Roman"/>
          <w:b w:val="0"/>
          <w:i w:val="0"/>
          <w:sz w:val="20"/>
        </w:rPr>
        <w:t>The dataset is the HR Employee Retention dataset publicly available on Kaggle [9], compiled to simulate realistic human resources records. It contains 14,999 employee records, each representing a unique individual. The outcome variable (left) indicates whether the employee departed (1) or remained (0).</w:t>
      </w:r>
    </w:p>
    <w:p>
      <w:pPr>
        <w:spacing w:before="80" w:after="40"/>
        <w:jc w:val="left"/>
      </w:pPr>
      <w:r>
        <w:rPr>
          <w:rFonts w:ascii="Times New Roman" w:hAnsi="Times New Roman"/>
          <w:b w:val="0"/>
          <w:i/>
          <w:sz w:val="20"/>
        </w:rPr>
        <w:t xml:space="preserve">B.  </w:t>
      </w:r>
      <w:r>
        <w:rPr>
          <w:rFonts w:ascii="Times New Roman" w:hAnsi="Times New Roman"/>
          <w:b w:val="0"/>
          <w:i/>
          <w:sz w:val="20"/>
        </w:rPr>
        <w:t>Variables</w:t>
      </w:r>
    </w:p>
    <w:p>
      <w:pPr>
        <w:spacing w:after="80"/>
        <w:ind w:firstLine="288"/>
        <w:jc w:val="both"/>
      </w:pPr>
      <w:r>
        <w:rPr>
          <w:rFonts w:ascii="Times New Roman" w:hAnsi="Times New Roman"/>
          <w:b w:val="0"/>
          <w:i w:val="0"/>
          <w:sz w:val="20"/>
        </w:rPr>
        <w:t>The dataset includes ten variables spanning four conceptual domains, shown in Table I.</w:t>
      </w:r>
    </w:p>
    <w:p>
      <w:pPr>
        <w:jc w:val="center"/>
      </w:pPr>
      <w:r>
        <w:rPr>
          <w:rFonts w:ascii="Times New Roman" w:hAnsi="Times New Roman"/>
          <w:b/>
          <w:sz w:val="18"/>
        </w:rPr>
        <w:t>TABLE I.   DATASET VARIABLES</w:t>
      </w:r>
    </w:p>
    <w:tbl>
      <w:tblPr>
        <w:tblStyle w:val="TableGrid"/>
        <w:jc w:val="center"/>
        <w:tblLook w:firstColumn="1" w:firstRow="1" w:lastColumn="0" w:lastRow="0" w:noHBand="0" w:noVBand="1" w:val="04A0"/>
        <w:tblW w:w="4680" w:type="dxa"/>
      </w:tblPr>
      <w:tblGrid>
        <w:gridCol w:w="2520"/>
        <w:gridCol w:w="2520"/>
        <w:gridCol w:w="2520"/>
        <w:gridCol w:w="2520"/>
      </w:tblGrid>
      <w:tr>
        <w:tc>
          <w:tcPr>
            <w:tcW w:w="936" w:type="dxa"/>
          </w:tcPr>
          <w:p>
            <w:r>
              <w:rPr>
                <w:rFonts w:ascii="Times New Roman" w:hAnsi="Times New Roman"/>
                <w:b/>
                <w:sz w:val="18"/>
              </w:rPr>
              <w:t>Domain</w:t>
            </w:r>
          </w:p>
        </w:tc>
        <w:tc>
          <w:tcPr>
            <w:tcW w:w="1512" w:type="dxa"/>
          </w:tcPr>
          <w:p>
            <w:r>
              <w:rPr>
                <w:rFonts w:ascii="Times New Roman" w:hAnsi="Times New Roman"/>
                <w:b/>
                <w:sz w:val="18"/>
              </w:rPr>
              <w:t>Variable</w:t>
            </w:r>
          </w:p>
        </w:tc>
        <w:tc>
          <w:tcPr>
            <w:tcW w:w="936" w:type="dxa"/>
          </w:tcPr>
          <w:p>
            <w:r>
              <w:rPr>
                <w:rFonts w:ascii="Times New Roman" w:hAnsi="Times New Roman"/>
                <w:b/>
                <w:sz w:val="18"/>
              </w:rPr>
              <w:t>Type</w:t>
            </w:r>
          </w:p>
        </w:tc>
        <w:tc>
          <w:tcPr>
            <w:tcW w:w="1296" w:type="dxa"/>
          </w:tcPr>
          <w:p>
            <w:r>
              <w:rPr>
                <w:rFonts w:ascii="Times New Roman" w:hAnsi="Times New Roman"/>
                <w:b/>
                <w:sz w:val="18"/>
              </w:rPr>
              <w:t>Description</w:t>
            </w:r>
          </w:p>
        </w:tc>
      </w:tr>
      <w:tr>
        <w:tc>
          <w:tcPr>
            <w:tcW w:w="936" w:type="dxa"/>
          </w:tcPr>
          <w:p>
            <w:r>
              <w:rPr>
                <w:rFonts w:ascii="Times New Roman" w:hAnsi="Times New Roman"/>
                <w:sz w:val="18"/>
              </w:rPr>
              <w:t>Satisfaction</w:t>
            </w:r>
          </w:p>
        </w:tc>
        <w:tc>
          <w:tcPr>
            <w:tcW w:w="1512" w:type="dxa"/>
          </w:tcPr>
          <w:p>
            <w:r>
              <w:rPr>
                <w:rFonts w:ascii="Times New Roman" w:hAnsi="Times New Roman"/>
                <w:sz w:val="18"/>
              </w:rPr>
              <w:t>satisfaction_level</w:t>
            </w:r>
          </w:p>
        </w:tc>
        <w:tc>
          <w:tcPr>
            <w:tcW w:w="936" w:type="dxa"/>
          </w:tcPr>
          <w:p>
            <w:r>
              <w:rPr>
                <w:rFonts w:ascii="Times New Roman" w:hAnsi="Times New Roman"/>
                <w:sz w:val="18"/>
              </w:rPr>
              <w:t>Numeric [0,1]</w:t>
            </w:r>
          </w:p>
        </w:tc>
        <w:tc>
          <w:tcPr>
            <w:tcW w:w="1296" w:type="dxa"/>
          </w:tcPr>
          <w:p>
            <w:r>
              <w:rPr>
                <w:rFonts w:ascii="Times New Roman" w:hAnsi="Times New Roman"/>
                <w:sz w:val="18"/>
              </w:rPr>
              <w:t>Self-reported satisfaction score</w:t>
            </w:r>
          </w:p>
        </w:tc>
      </w:tr>
      <w:tr>
        <w:tc>
          <w:tcPr>
            <w:tcW w:w="936" w:type="dxa"/>
          </w:tcPr>
          <w:p>
            <w:r>
              <w:rPr>
                <w:rFonts w:ascii="Times New Roman" w:hAnsi="Times New Roman"/>
                <w:sz w:val="18"/>
              </w:rPr>
              <w:t>Performance</w:t>
            </w:r>
          </w:p>
        </w:tc>
        <w:tc>
          <w:tcPr>
            <w:tcW w:w="1512" w:type="dxa"/>
          </w:tcPr>
          <w:p>
            <w:r>
              <w:rPr>
                <w:rFonts w:ascii="Times New Roman" w:hAnsi="Times New Roman"/>
                <w:sz w:val="18"/>
              </w:rPr>
              <w:t>last_evaluation</w:t>
            </w:r>
          </w:p>
        </w:tc>
        <w:tc>
          <w:tcPr>
            <w:tcW w:w="936" w:type="dxa"/>
          </w:tcPr>
          <w:p>
            <w:r>
              <w:rPr>
                <w:rFonts w:ascii="Times New Roman" w:hAnsi="Times New Roman"/>
                <w:sz w:val="18"/>
              </w:rPr>
              <w:t>Numeric [0,1]</w:t>
            </w:r>
          </w:p>
        </w:tc>
        <w:tc>
          <w:tcPr>
            <w:tcW w:w="1296" w:type="dxa"/>
          </w:tcPr>
          <w:p>
            <w:r>
              <w:rPr>
                <w:rFonts w:ascii="Times New Roman" w:hAnsi="Times New Roman"/>
                <w:sz w:val="18"/>
              </w:rPr>
              <w:t>Most recent performance review</w:t>
            </w:r>
          </w:p>
        </w:tc>
      </w:tr>
      <w:tr>
        <w:tc>
          <w:tcPr>
            <w:tcW w:w="936" w:type="dxa"/>
          </w:tcPr>
          <w:p>
            <w:r>
              <w:rPr>
                <w:rFonts w:ascii="Times New Roman" w:hAnsi="Times New Roman"/>
                <w:sz w:val="18"/>
              </w:rPr>
              <w:t>Workload</w:t>
            </w:r>
          </w:p>
        </w:tc>
        <w:tc>
          <w:tcPr>
            <w:tcW w:w="1512" w:type="dxa"/>
          </w:tcPr>
          <w:p>
            <w:r>
              <w:rPr>
                <w:rFonts w:ascii="Times New Roman" w:hAnsi="Times New Roman"/>
                <w:sz w:val="18"/>
              </w:rPr>
              <w:t>number_project</w:t>
            </w:r>
          </w:p>
        </w:tc>
        <w:tc>
          <w:tcPr>
            <w:tcW w:w="936" w:type="dxa"/>
          </w:tcPr>
          <w:p>
            <w:r>
              <w:rPr>
                <w:rFonts w:ascii="Times New Roman" w:hAnsi="Times New Roman"/>
                <w:sz w:val="18"/>
              </w:rPr>
              <w:t>Integer</w:t>
            </w:r>
          </w:p>
        </w:tc>
        <w:tc>
          <w:tcPr>
            <w:tcW w:w="1296" w:type="dxa"/>
          </w:tcPr>
          <w:p>
            <w:r>
              <w:rPr>
                <w:rFonts w:ascii="Times New Roman" w:hAnsi="Times New Roman"/>
                <w:sz w:val="18"/>
              </w:rPr>
              <w:t>Number of projects assigned</w:t>
            </w:r>
          </w:p>
        </w:tc>
      </w:tr>
      <w:tr>
        <w:tc>
          <w:tcPr>
            <w:tcW w:w="936" w:type="dxa"/>
          </w:tcPr>
          <w:p>
            <w:r>
              <w:rPr>
                <w:rFonts w:ascii="Times New Roman" w:hAnsi="Times New Roman"/>
                <w:sz w:val="18"/>
              </w:rPr>
              <w:t>Workload</w:t>
            </w:r>
          </w:p>
        </w:tc>
        <w:tc>
          <w:tcPr>
            <w:tcW w:w="1512" w:type="dxa"/>
          </w:tcPr>
          <w:p>
            <w:r>
              <w:rPr>
                <w:rFonts w:ascii="Times New Roman" w:hAnsi="Times New Roman"/>
                <w:sz w:val="18"/>
              </w:rPr>
              <w:t>average_monthly_hours</w:t>
            </w:r>
          </w:p>
        </w:tc>
        <w:tc>
          <w:tcPr>
            <w:tcW w:w="936" w:type="dxa"/>
          </w:tcPr>
          <w:p>
            <w:r>
              <w:rPr>
                <w:rFonts w:ascii="Times New Roman" w:hAnsi="Times New Roman"/>
                <w:sz w:val="18"/>
              </w:rPr>
              <w:t>Integer</w:t>
            </w:r>
          </w:p>
        </w:tc>
        <w:tc>
          <w:tcPr>
            <w:tcW w:w="1296" w:type="dxa"/>
          </w:tcPr>
          <w:p>
            <w:r>
              <w:rPr>
                <w:rFonts w:ascii="Times New Roman" w:hAnsi="Times New Roman"/>
                <w:sz w:val="18"/>
              </w:rPr>
              <w:t>Avg. hours worked per month</w:t>
            </w:r>
          </w:p>
        </w:tc>
      </w:tr>
      <w:tr>
        <w:tc>
          <w:tcPr>
            <w:tcW w:w="936" w:type="dxa"/>
          </w:tcPr>
          <w:p>
            <w:r>
              <w:rPr>
                <w:rFonts w:ascii="Times New Roman" w:hAnsi="Times New Roman"/>
                <w:sz w:val="18"/>
              </w:rPr>
              <w:t>Tenure</w:t>
            </w:r>
          </w:p>
        </w:tc>
        <w:tc>
          <w:tcPr>
            <w:tcW w:w="1512" w:type="dxa"/>
          </w:tcPr>
          <w:p>
            <w:r>
              <w:rPr>
                <w:rFonts w:ascii="Times New Roman" w:hAnsi="Times New Roman"/>
                <w:sz w:val="18"/>
              </w:rPr>
              <w:t>time_spend_company</w:t>
            </w:r>
          </w:p>
        </w:tc>
        <w:tc>
          <w:tcPr>
            <w:tcW w:w="936" w:type="dxa"/>
          </w:tcPr>
          <w:p>
            <w:r>
              <w:rPr>
                <w:rFonts w:ascii="Times New Roman" w:hAnsi="Times New Roman"/>
                <w:sz w:val="18"/>
              </w:rPr>
              <w:t>Integer</w:t>
            </w:r>
          </w:p>
        </w:tc>
        <w:tc>
          <w:tcPr>
            <w:tcW w:w="1296" w:type="dxa"/>
          </w:tcPr>
          <w:p>
            <w:r>
              <w:rPr>
                <w:rFonts w:ascii="Times New Roman" w:hAnsi="Times New Roman"/>
                <w:sz w:val="18"/>
              </w:rPr>
              <w:t>Years employed at company</w:t>
            </w:r>
          </w:p>
        </w:tc>
      </w:tr>
      <w:tr>
        <w:tc>
          <w:tcPr>
            <w:tcW w:w="936" w:type="dxa"/>
          </w:tcPr>
          <w:p>
            <w:r>
              <w:rPr>
                <w:rFonts w:ascii="Times New Roman" w:hAnsi="Times New Roman"/>
                <w:sz w:val="18"/>
              </w:rPr>
              <w:t>Safety</w:t>
            </w:r>
          </w:p>
        </w:tc>
        <w:tc>
          <w:tcPr>
            <w:tcW w:w="1512" w:type="dxa"/>
          </w:tcPr>
          <w:p>
            <w:r>
              <w:rPr>
                <w:rFonts w:ascii="Times New Roman" w:hAnsi="Times New Roman"/>
                <w:sz w:val="18"/>
              </w:rPr>
              <w:t>work_accident</w:t>
            </w:r>
          </w:p>
        </w:tc>
        <w:tc>
          <w:tcPr>
            <w:tcW w:w="936" w:type="dxa"/>
          </w:tcPr>
          <w:p>
            <w:r>
              <w:rPr>
                <w:rFonts w:ascii="Times New Roman" w:hAnsi="Times New Roman"/>
                <w:sz w:val="18"/>
              </w:rPr>
              <w:t>Boolean</w:t>
            </w:r>
          </w:p>
        </w:tc>
        <w:tc>
          <w:tcPr>
            <w:tcW w:w="1296" w:type="dxa"/>
          </w:tcPr>
          <w:p>
            <w:r>
              <w:rPr>
                <w:rFonts w:ascii="Times New Roman" w:hAnsi="Times New Roman"/>
                <w:sz w:val="18"/>
              </w:rPr>
              <w:t>Had a work accident</w:t>
            </w:r>
          </w:p>
        </w:tc>
      </w:tr>
      <w:tr>
        <w:tc>
          <w:tcPr>
            <w:tcW w:w="936" w:type="dxa"/>
          </w:tcPr>
          <w:p>
            <w:r>
              <w:rPr>
                <w:rFonts w:ascii="Times New Roman" w:hAnsi="Times New Roman"/>
                <w:sz w:val="18"/>
              </w:rPr>
              <w:t>Career</w:t>
            </w:r>
          </w:p>
        </w:tc>
        <w:tc>
          <w:tcPr>
            <w:tcW w:w="1512" w:type="dxa"/>
          </w:tcPr>
          <w:p>
            <w:r>
              <w:rPr>
                <w:rFonts w:ascii="Times New Roman" w:hAnsi="Times New Roman"/>
                <w:sz w:val="18"/>
              </w:rPr>
              <w:t>promotion_last_5years</w:t>
            </w:r>
          </w:p>
        </w:tc>
        <w:tc>
          <w:tcPr>
            <w:tcW w:w="936" w:type="dxa"/>
          </w:tcPr>
          <w:p>
            <w:r>
              <w:rPr>
                <w:rFonts w:ascii="Times New Roman" w:hAnsi="Times New Roman"/>
                <w:sz w:val="18"/>
              </w:rPr>
              <w:t>Boolean</w:t>
            </w:r>
          </w:p>
        </w:tc>
        <w:tc>
          <w:tcPr>
            <w:tcW w:w="1296" w:type="dxa"/>
          </w:tcPr>
          <w:p>
            <w:r>
              <w:rPr>
                <w:rFonts w:ascii="Times New Roman" w:hAnsi="Times New Roman"/>
                <w:sz w:val="18"/>
              </w:rPr>
              <w:t>Promoted in last 5 years</w:t>
            </w:r>
          </w:p>
        </w:tc>
      </w:tr>
      <w:tr>
        <w:tc>
          <w:tcPr>
            <w:tcW w:w="936" w:type="dxa"/>
          </w:tcPr>
          <w:p>
            <w:r>
              <w:rPr>
                <w:rFonts w:ascii="Times New Roman" w:hAnsi="Times New Roman"/>
                <w:sz w:val="18"/>
              </w:rPr>
              <w:t>Compensation</w:t>
            </w:r>
          </w:p>
        </w:tc>
        <w:tc>
          <w:tcPr>
            <w:tcW w:w="1512" w:type="dxa"/>
          </w:tcPr>
          <w:p>
            <w:r>
              <w:rPr>
                <w:rFonts w:ascii="Times New Roman" w:hAnsi="Times New Roman"/>
                <w:sz w:val="18"/>
              </w:rPr>
              <w:t>salary</w:t>
            </w:r>
          </w:p>
        </w:tc>
        <w:tc>
          <w:tcPr>
            <w:tcW w:w="936" w:type="dxa"/>
          </w:tcPr>
          <w:p>
            <w:r>
              <w:rPr>
                <w:rFonts w:ascii="Times New Roman" w:hAnsi="Times New Roman"/>
                <w:sz w:val="18"/>
              </w:rPr>
              <w:t>Categorical</w:t>
            </w:r>
          </w:p>
        </w:tc>
        <w:tc>
          <w:tcPr>
            <w:tcW w:w="1296" w:type="dxa"/>
          </w:tcPr>
          <w:p>
            <w:r>
              <w:rPr>
                <w:rFonts w:ascii="Times New Roman" w:hAnsi="Times New Roman"/>
                <w:sz w:val="18"/>
              </w:rPr>
              <w:t>Low / medium / high</w:t>
            </w:r>
          </w:p>
        </w:tc>
      </w:tr>
      <w:tr>
        <w:tc>
          <w:tcPr>
            <w:tcW w:w="936" w:type="dxa"/>
          </w:tcPr>
          <w:p>
            <w:r>
              <w:rPr>
                <w:rFonts w:ascii="Times New Roman" w:hAnsi="Times New Roman"/>
                <w:sz w:val="18"/>
              </w:rPr>
              <w:t>Outcome</w:t>
            </w:r>
          </w:p>
        </w:tc>
        <w:tc>
          <w:tcPr>
            <w:tcW w:w="1512" w:type="dxa"/>
          </w:tcPr>
          <w:p>
            <w:r>
              <w:rPr>
                <w:rFonts w:ascii="Times New Roman" w:hAnsi="Times New Roman"/>
                <w:sz w:val="18"/>
              </w:rPr>
              <w:t>left</w:t>
            </w:r>
          </w:p>
        </w:tc>
        <w:tc>
          <w:tcPr>
            <w:tcW w:w="936" w:type="dxa"/>
          </w:tcPr>
          <w:p>
            <w:r>
              <w:rPr>
                <w:rFonts w:ascii="Times New Roman" w:hAnsi="Times New Roman"/>
                <w:sz w:val="18"/>
              </w:rPr>
              <w:t>Boolean</w:t>
            </w:r>
          </w:p>
        </w:tc>
        <w:tc>
          <w:tcPr>
            <w:tcW w:w="1296" w:type="dxa"/>
          </w:tcPr>
          <w:p>
            <w:r>
              <w:rPr>
                <w:rFonts w:ascii="Times New Roman" w:hAnsi="Times New Roman"/>
                <w:sz w:val="18"/>
              </w:rPr>
              <w:t>Left the company</w:t>
            </w:r>
          </w:p>
        </w:tc>
      </w:tr>
    </w:tbl>
    <w:p/>
    <w:p>
      <w:pPr>
        <w:spacing w:before="80" w:after="40"/>
        <w:jc w:val="left"/>
      </w:pPr>
      <w:r>
        <w:rPr>
          <w:rFonts w:ascii="Times New Roman" w:hAnsi="Times New Roman"/>
          <w:b w:val="0"/>
          <w:i/>
          <w:sz w:val="20"/>
        </w:rPr>
        <w:t xml:space="preserve">C.  </w:t>
      </w:r>
      <w:r>
        <w:rPr>
          <w:rFonts w:ascii="Times New Roman" w:hAnsi="Times New Roman"/>
          <w:b w:val="0"/>
          <w:i/>
          <w:sz w:val="20"/>
        </w:rPr>
        <w:t>Data Quality</w:t>
      </w:r>
    </w:p>
    <w:p>
      <w:pPr>
        <w:spacing w:after="80"/>
        <w:ind w:firstLine="288"/>
        <w:jc w:val="both"/>
      </w:pPr>
      <w:r>
        <w:rPr>
          <w:rFonts w:ascii="Times New Roman" w:hAnsi="Times New Roman"/>
          <w:b w:val="0"/>
          <w:i w:val="0"/>
          <w:sz w:val="20"/>
        </w:rPr>
        <w:t>A missing value audit revealed no null entries in any column. Outlier detection using the IQR method identified anomalous values in average_monthly_hours (above 310 hrs/month), retained as plausible extreme-workload cases. Schema constraints enforced CHECK ranges on satisfaction and evaluation scores ([0,1]), non-negative hours and tenure, and foreign key consistency across all four tables. A row-count reconciliation confirmed all 14,999 records are present after normalization.</w:t>
      </w:r>
    </w:p>
    <w:p>
      <w:pPr>
        <w:spacing w:before="80" w:after="40"/>
        <w:jc w:val="left"/>
      </w:pPr>
      <w:r>
        <w:rPr>
          <w:rFonts w:ascii="Times New Roman" w:hAnsi="Times New Roman"/>
          <w:b w:val="0"/>
          <w:i/>
          <w:sz w:val="20"/>
        </w:rPr>
        <w:t xml:space="preserve">D.  </w:t>
      </w:r>
      <w:r>
        <w:rPr>
          <w:rFonts w:ascii="Times New Roman" w:hAnsi="Times New Roman"/>
          <w:b w:val="0"/>
          <w:i/>
          <w:sz w:val="20"/>
        </w:rPr>
        <w:t>Database Schema</w:t>
      </w:r>
    </w:p>
    <w:p>
      <w:pPr>
        <w:spacing w:after="80"/>
        <w:ind w:firstLine="288"/>
        <w:jc w:val="both"/>
      </w:pPr>
      <w:r>
        <w:rPr>
          <w:rFonts w:ascii="Times New Roman" w:hAnsi="Times New Roman"/>
          <w:b w:val="0"/>
          <w:i w:val="0"/>
          <w:sz w:val="20"/>
        </w:rPr>
        <w:t>The flat CSV was normalized into a four-table relational schema in SQLite [10]: (1) salary_levels—lookup table mapping salary tier labels to IDs; (2) employees—core identity table (emp_id, salary_id, tenure); (3) performance_records—satisfaction, evaluation, project count, monthly hours; (4) employment_events—work accidents, promotion history, and turnover outcome. This design eliminates redundancy, enforces referential integrity via foreign keys, and allows the turnover outcome to be joined against any combination of attributes in a single SQL query.</w:t>
      </w:r>
    </w:p>
    <w:p>
      <w:pPr>
        <w:spacing w:before="160" w:after="80"/>
        <w:jc w:val="center"/>
      </w:pPr>
      <w:r>
        <w:rPr>
          <w:rFonts w:ascii="Times New Roman" w:hAnsi="Times New Roman"/>
          <w:b/>
          <w:i w:val="0"/>
          <w:sz w:val="20"/>
        </w:rPr>
        <w:t>IV.  METHODOLOGY</w:t>
      </w:r>
    </w:p>
    <w:p>
      <w:pPr>
        <w:spacing w:before="80" w:after="40"/>
        <w:jc w:val="left"/>
      </w:pPr>
      <w:r>
        <w:rPr>
          <w:rFonts w:ascii="Times New Roman" w:hAnsi="Times New Roman"/>
          <w:b w:val="0"/>
          <w:i/>
          <w:sz w:val="20"/>
        </w:rPr>
        <w:t xml:space="preserve">A.  </w:t>
      </w:r>
      <w:r>
        <w:rPr>
          <w:rFonts w:ascii="Times New Roman" w:hAnsi="Times New Roman"/>
          <w:b w:val="0"/>
          <w:i/>
          <w:sz w:val="20"/>
        </w:rPr>
        <w:t>Descriptive Statistics</w:t>
      </w:r>
    </w:p>
    <w:p>
      <w:pPr>
        <w:spacing w:after="80"/>
        <w:ind w:firstLine="288"/>
        <w:jc w:val="both"/>
      </w:pPr>
      <w:r>
        <w:rPr>
          <w:rFonts w:ascii="Times New Roman" w:hAnsi="Times New Roman"/>
          <w:b w:val="0"/>
          <w:i w:val="0"/>
          <w:sz w:val="20"/>
        </w:rPr>
        <w:t>For all numeric variables, we computed mean, median, mode, standard deviation, variance, range, Q1, Q3, and the interquartile range, calculated separately for employees who left and those who stayed.</w:t>
      </w:r>
    </w:p>
    <w:p>
      <w:pPr>
        <w:spacing w:before="80" w:after="40"/>
        <w:jc w:val="left"/>
      </w:pPr>
      <w:r>
        <w:rPr>
          <w:rFonts w:ascii="Times New Roman" w:hAnsi="Times New Roman"/>
          <w:b w:val="0"/>
          <w:i/>
          <w:sz w:val="20"/>
        </w:rPr>
        <w:t xml:space="preserve">B.  </w:t>
      </w:r>
      <w:r>
        <w:rPr>
          <w:rFonts w:ascii="Times New Roman" w:hAnsi="Times New Roman"/>
          <w:b w:val="0"/>
          <w:i/>
          <w:sz w:val="20"/>
        </w:rPr>
        <w:t>Group Comparison</w:t>
      </w:r>
    </w:p>
    <w:p>
      <w:pPr>
        <w:spacing w:after="80"/>
        <w:ind w:firstLine="288"/>
        <w:jc w:val="both"/>
      </w:pPr>
      <w:r>
        <w:rPr>
          <w:rFonts w:ascii="Times New Roman" w:hAnsi="Times New Roman"/>
          <w:b w:val="0"/>
          <w:i w:val="0"/>
          <w:sz w:val="20"/>
        </w:rPr>
        <w:t>Turnover rates were computed for each level of categorical variables (salary tier, promotion status, work accident). For numeric variables, employees were segmented into bins and turnover rates computed within each bin to identify non-linear relationships.</w:t>
      </w:r>
    </w:p>
    <w:p>
      <w:pPr>
        <w:spacing w:before="80" w:after="40"/>
        <w:jc w:val="left"/>
      </w:pPr>
      <w:r>
        <w:rPr>
          <w:rFonts w:ascii="Times New Roman" w:hAnsi="Times New Roman"/>
          <w:b w:val="0"/>
          <w:i/>
          <w:sz w:val="20"/>
        </w:rPr>
        <w:t xml:space="preserve">C.  </w:t>
      </w:r>
      <w:r>
        <w:rPr>
          <w:rFonts w:ascii="Times New Roman" w:hAnsi="Times New Roman"/>
          <w:b w:val="0"/>
          <w:i/>
          <w:sz w:val="20"/>
        </w:rPr>
        <w:t>Correlation Analysis</w:t>
      </w:r>
    </w:p>
    <w:p>
      <w:pPr>
        <w:spacing w:after="80"/>
        <w:ind w:firstLine="288"/>
        <w:jc w:val="both"/>
      </w:pPr>
      <w:r>
        <w:rPr>
          <w:rFonts w:ascii="Times New Roman" w:hAnsi="Times New Roman"/>
          <w:b w:val="0"/>
          <w:i w:val="0"/>
          <w:sz w:val="20"/>
        </w:rPr>
        <w:t>Pearson correlation coefficients were computed between each numeric feature and the binary left outcome, producing a ranked list of predictors by association strength.</w:t>
      </w:r>
    </w:p>
    <w:p>
      <w:pPr>
        <w:spacing w:before="80" w:after="40"/>
        <w:jc w:val="left"/>
      </w:pPr>
      <w:r>
        <w:rPr>
          <w:rFonts w:ascii="Times New Roman" w:hAnsi="Times New Roman"/>
          <w:b w:val="0"/>
          <w:i/>
          <w:sz w:val="20"/>
        </w:rPr>
        <w:t xml:space="preserve">D.  </w:t>
      </w:r>
      <w:r>
        <w:rPr>
          <w:rFonts w:ascii="Times New Roman" w:hAnsi="Times New Roman"/>
          <w:b w:val="0"/>
          <w:i/>
          <w:sz w:val="20"/>
        </w:rPr>
        <w:t>SQL-Based Analysis</w:t>
      </w:r>
    </w:p>
    <w:p>
      <w:pPr>
        <w:spacing w:after="80"/>
        <w:ind w:firstLine="288"/>
        <w:jc w:val="both"/>
      </w:pPr>
      <w:r>
        <w:rPr>
          <w:rFonts w:ascii="Times New Roman" w:hAnsi="Times New Roman"/>
          <w:b w:val="0"/>
          <w:i w:val="0"/>
          <w:sz w:val="20"/>
        </w:rPr>
        <w:t>All group-level queries were executed against the normalized SQLite database, including overall turnover rate, turnover by salary tier (three-table join), average satisfaction and monthly hours by turnover status, and high-risk employee identification using compound WHERE filters.</w:t>
      </w:r>
    </w:p>
    <w:p>
      <w:pPr>
        <w:spacing w:before="80" w:after="40"/>
        <w:jc w:val="left"/>
      </w:pPr>
      <w:r>
        <w:rPr>
          <w:rFonts w:ascii="Times New Roman" w:hAnsi="Times New Roman"/>
          <w:b w:val="0"/>
          <w:i/>
          <w:sz w:val="20"/>
        </w:rPr>
        <w:t xml:space="preserve">E.  </w:t>
      </w:r>
      <w:r>
        <w:rPr>
          <w:rFonts w:ascii="Times New Roman" w:hAnsi="Times New Roman"/>
          <w:b w:val="0"/>
          <w:i/>
          <w:sz w:val="20"/>
        </w:rPr>
        <w:t>Risk Profiling</w:t>
      </w:r>
    </w:p>
    <w:p>
      <w:pPr>
        <w:spacing w:after="80"/>
        <w:ind w:firstLine="288"/>
        <w:jc w:val="both"/>
      </w:pPr>
      <w:r>
        <w:rPr>
          <w:rFonts w:ascii="Times New Roman" w:hAnsi="Times New Roman"/>
          <w:b w:val="0"/>
          <w:i w:val="0"/>
          <w:sz w:val="20"/>
        </w:rPr>
        <w:t>A high-risk profile was defined using three simultaneous criteria: satisfaction score below 0.4, salary tier of "low", and no promotion in the last five years, constrained to employees still at the company. This threshold was set based on the distributional boundary at which turnover rates were observed to increase sharply.</w:t>
      </w:r>
    </w:p>
    <w:p>
      <w:pPr>
        <w:spacing w:before="160" w:after="80"/>
        <w:jc w:val="center"/>
      </w:pPr>
      <w:r>
        <w:rPr>
          <w:rFonts w:ascii="Times New Roman" w:hAnsi="Times New Roman"/>
          <w:b/>
          <w:i w:val="0"/>
          <w:sz w:val="20"/>
        </w:rPr>
        <w:t>V.  RESULTS</w:t>
      </w:r>
    </w:p>
    <w:p>
      <w:pPr>
        <w:spacing w:before="80" w:after="40"/>
        <w:jc w:val="left"/>
      </w:pPr>
      <w:r>
        <w:rPr>
          <w:rFonts w:ascii="Times New Roman" w:hAnsi="Times New Roman"/>
          <w:b w:val="0"/>
          <w:i/>
          <w:sz w:val="20"/>
        </w:rPr>
        <w:t xml:space="preserve">A.  </w:t>
      </w:r>
      <w:r>
        <w:rPr>
          <w:rFonts w:ascii="Times New Roman" w:hAnsi="Times New Roman"/>
          <w:b w:val="0"/>
          <w:i/>
          <w:sz w:val="20"/>
        </w:rPr>
        <w:t>Overall Turnover Rate</w:t>
      </w:r>
    </w:p>
    <w:p>
      <w:pPr>
        <w:spacing w:after="80"/>
        <w:ind w:firstLine="288"/>
        <w:jc w:val="both"/>
      </w:pPr>
      <w:r>
        <w:rPr>
          <w:rFonts w:ascii="Times New Roman" w:hAnsi="Times New Roman"/>
          <w:b w:val="0"/>
          <w:i w:val="0"/>
          <w:sz w:val="20"/>
        </w:rPr>
        <w:t>Of 14,999 employees, 3,571 left the organization, yielding an overall turnover rate of 23.81%. This substantially exceeds the commonly cited U.S. industry average of approximately 15% [4].</w:t>
      </w:r>
    </w:p>
    <w:p>
      <w:pPr>
        <w:spacing w:before="80" w:after="40"/>
        <w:jc w:val="left"/>
      </w:pPr>
      <w:r>
        <w:rPr>
          <w:rFonts w:ascii="Times New Roman" w:hAnsi="Times New Roman"/>
          <w:b w:val="0"/>
          <w:i/>
          <w:sz w:val="20"/>
        </w:rPr>
        <w:t xml:space="preserve">B.  </w:t>
      </w:r>
      <w:r>
        <w:rPr>
          <w:rFonts w:ascii="Times New Roman" w:hAnsi="Times New Roman"/>
          <w:b w:val="0"/>
          <w:i/>
          <w:sz w:val="20"/>
        </w:rPr>
        <w:t>Turnover by Salary Tier</w:t>
      </w:r>
    </w:p>
    <w:p>
      <w:pPr>
        <w:spacing w:after="80"/>
        <w:ind w:firstLine="288"/>
        <w:jc w:val="both"/>
      </w:pPr>
      <w:r>
        <w:rPr>
          <w:rFonts w:ascii="Times New Roman" w:hAnsi="Times New Roman"/>
          <w:b w:val="0"/>
          <w:i w:val="0"/>
          <w:sz w:val="20"/>
        </w:rPr>
        <w:t>Salary tier is one of the strongest single-variable predictors of turnover. Table II shows that low-salary employees leave at more than four times the rate of high-salary employees.</w:t>
      </w:r>
    </w:p>
    <w:p>
      <w:pPr>
        <w:jc w:val="center"/>
      </w:pPr>
      <w:r>
        <w:rPr>
          <w:rFonts w:ascii="Times New Roman" w:hAnsi="Times New Roman"/>
          <w:b/>
          <w:sz w:val="18"/>
        </w:rPr>
        <w:t>TABLE II.   TURNOVER RATE BY SALARY TIER</w:t>
      </w:r>
    </w:p>
    <w:tbl>
      <w:tblPr>
        <w:tblStyle w:val="TableGrid"/>
        <w:jc w:val="center"/>
        <w:tblLook w:firstColumn="1" w:firstRow="1" w:lastColumn="0" w:lastRow="0" w:noHBand="0" w:noVBand="1" w:val="04A0"/>
        <w:tblW w:w="4680" w:type="dxa"/>
      </w:tblPr>
      <w:tblGrid>
        <w:gridCol w:w="2520"/>
        <w:gridCol w:w="2520"/>
        <w:gridCol w:w="2520"/>
        <w:gridCol w:w="2520"/>
      </w:tblGrid>
      <w:tr>
        <w:tc>
          <w:tcPr>
            <w:tcW w:w="1152" w:type="dxa"/>
          </w:tcPr>
          <w:p>
            <w:r>
              <w:rPr>
                <w:rFonts w:ascii="Times New Roman" w:hAnsi="Times New Roman"/>
                <w:b/>
                <w:sz w:val="18"/>
              </w:rPr>
              <w:t>Salary Tier</w:t>
            </w:r>
          </w:p>
        </w:tc>
        <w:tc>
          <w:tcPr>
            <w:tcW w:w="1224" w:type="dxa"/>
          </w:tcPr>
          <w:p>
            <w:r>
              <w:rPr>
                <w:rFonts w:ascii="Times New Roman" w:hAnsi="Times New Roman"/>
                <w:b/>
                <w:sz w:val="18"/>
              </w:rPr>
              <w:t>Total Employees</w:t>
            </w:r>
          </w:p>
        </w:tc>
        <w:tc>
          <w:tcPr>
            <w:tcW w:w="1080" w:type="dxa"/>
          </w:tcPr>
          <w:p>
            <w:r>
              <w:rPr>
                <w:rFonts w:ascii="Times New Roman" w:hAnsi="Times New Roman"/>
                <w:b/>
                <w:sz w:val="18"/>
              </w:rPr>
              <w:t>Left</w:t>
            </w:r>
          </w:p>
        </w:tc>
        <w:tc>
          <w:tcPr>
            <w:tcW w:w="1224" w:type="dxa"/>
          </w:tcPr>
          <w:p>
            <w:r>
              <w:rPr>
                <w:rFonts w:ascii="Times New Roman" w:hAnsi="Times New Roman"/>
                <w:b/>
                <w:sz w:val="18"/>
              </w:rPr>
              <w:t>Turnover Rate</w:t>
            </w:r>
          </w:p>
        </w:tc>
      </w:tr>
      <w:tr>
        <w:tc>
          <w:tcPr>
            <w:tcW w:w="1152" w:type="dxa"/>
          </w:tcPr>
          <w:p>
            <w:r>
              <w:rPr>
                <w:rFonts w:ascii="Times New Roman" w:hAnsi="Times New Roman"/>
                <w:b w:val="0"/>
                <w:sz w:val="18"/>
              </w:rPr>
              <w:t>Low</w:t>
            </w:r>
          </w:p>
        </w:tc>
        <w:tc>
          <w:tcPr>
            <w:tcW w:w="1224" w:type="dxa"/>
          </w:tcPr>
          <w:p>
            <w:r>
              <w:rPr>
                <w:rFonts w:ascii="Times New Roman" w:hAnsi="Times New Roman"/>
                <w:b w:val="0"/>
                <w:sz w:val="18"/>
              </w:rPr>
              <w:t>7,316</w:t>
            </w:r>
          </w:p>
        </w:tc>
        <w:tc>
          <w:tcPr>
            <w:tcW w:w="1080" w:type="dxa"/>
          </w:tcPr>
          <w:p>
            <w:r>
              <w:rPr>
                <w:rFonts w:ascii="Times New Roman" w:hAnsi="Times New Roman"/>
                <w:b w:val="0"/>
                <w:sz w:val="18"/>
              </w:rPr>
              <w:t>2,172</w:t>
            </w:r>
          </w:p>
        </w:tc>
        <w:tc>
          <w:tcPr>
            <w:tcW w:w="1224" w:type="dxa"/>
          </w:tcPr>
          <w:p>
            <w:r>
              <w:rPr>
                <w:rFonts w:ascii="Times New Roman" w:hAnsi="Times New Roman"/>
                <w:b w:val="0"/>
                <w:sz w:val="18"/>
              </w:rPr>
              <w:t>29.69%</w:t>
            </w:r>
          </w:p>
        </w:tc>
      </w:tr>
      <w:tr>
        <w:tc>
          <w:tcPr>
            <w:tcW w:w="1152" w:type="dxa"/>
          </w:tcPr>
          <w:p>
            <w:r>
              <w:rPr>
                <w:rFonts w:ascii="Times New Roman" w:hAnsi="Times New Roman"/>
                <w:b w:val="0"/>
                <w:sz w:val="18"/>
              </w:rPr>
              <w:t>Medium</w:t>
            </w:r>
          </w:p>
        </w:tc>
        <w:tc>
          <w:tcPr>
            <w:tcW w:w="1224" w:type="dxa"/>
          </w:tcPr>
          <w:p>
            <w:r>
              <w:rPr>
                <w:rFonts w:ascii="Times New Roman" w:hAnsi="Times New Roman"/>
                <w:b w:val="0"/>
                <w:sz w:val="18"/>
              </w:rPr>
              <w:t>6,446</w:t>
            </w:r>
          </w:p>
        </w:tc>
        <w:tc>
          <w:tcPr>
            <w:tcW w:w="1080" w:type="dxa"/>
          </w:tcPr>
          <w:p>
            <w:r>
              <w:rPr>
                <w:rFonts w:ascii="Times New Roman" w:hAnsi="Times New Roman"/>
                <w:b w:val="0"/>
                <w:sz w:val="18"/>
              </w:rPr>
              <w:t>1,317</w:t>
            </w:r>
          </w:p>
        </w:tc>
        <w:tc>
          <w:tcPr>
            <w:tcW w:w="1224" w:type="dxa"/>
          </w:tcPr>
          <w:p>
            <w:r>
              <w:rPr>
                <w:rFonts w:ascii="Times New Roman" w:hAnsi="Times New Roman"/>
                <w:b w:val="0"/>
                <w:sz w:val="18"/>
              </w:rPr>
              <w:t>20.43%</w:t>
            </w:r>
          </w:p>
        </w:tc>
      </w:tr>
      <w:tr>
        <w:tc>
          <w:tcPr>
            <w:tcW w:w="1152" w:type="dxa"/>
          </w:tcPr>
          <w:p>
            <w:r>
              <w:rPr>
                <w:rFonts w:ascii="Times New Roman" w:hAnsi="Times New Roman"/>
                <w:b w:val="0"/>
                <w:sz w:val="18"/>
              </w:rPr>
              <w:t>High</w:t>
            </w:r>
          </w:p>
        </w:tc>
        <w:tc>
          <w:tcPr>
            <w:tcW w:w="1224" w:type="dxa"/>
          </w:tcPr>
          <w:p>
            <w:r>
              <w:rPr>
                <w:rFonts w:ascii="Times New Roman" w:hAnsi="Times New Roman"/>
                <w:b w:val="0"/>
                <w:sz w:val="18"/>
              </w:rPr>
              <w:t>1,237</w:t>
            </w:r>
          </w:p>
        </w:tc>
        <w:tc>
          <w:tcPr>
            <w:tcW w:w="1080" w:type="dxa"/>
          </w:tcPr>
          <w:p>
            <w:r>
              <w:rPr>
                <w:rFonts w:ascii="Times New Roman" w:hAnsi="Times New Roman"/>
                <w:b w:val="0"/>
                <w:sz w:val="18"/>
              </w:rPr>
              <w:t>82</w:t>
            </w:r>
          </w:p>
        </w:tc>
        <w:tc>
          <w:tcPr>
            <w:tcW w:w="1224" w:type="dxa"/>
          </w:tcPr>
          <w:p>
            <w:r>
              <w:rPr>
                <w:rFonts w:ascii="Times New Roman" w:hAnsi="Times New Roman"/>
                <w:b w:val="0"/>
                <w:sz w:val="18"/>
              </w:rPr>
              <w:t>6.63%</w:t>
            </w:r>
          </w:p>
        </w:tc>
      </w:tr>
    </w:tbl>
    <w:p/>
    <w:p>
      <w:pPr>
        <w:spacing w:before="80" w:after="40"/>
        <w:jc w:val="left"/>
      </w:pPr>
      <w:r>
        <w:rPr>
          <w:rFonts w:ascii="Times New Roman" w:hAnsi="Times New Roman"/>
          <w:b w:val="0"/>
          <w:i/>
          <w:sz w:val="20"/>
        </w:rPr>
        <w:t xml:space="preserve">C.  </w:t>
      </w:r>
      <w:r>
        <w:rPr>
          <w:rFonts w:ascii="Times New Roman" w:hAnsi="Times New Roman"/>
          <w:b w:val="0"/>
          <w:i/>
          <w:sz w:val="20"/>
        </w:rPr>
        <w:t>Job Satisfaction and Turnover</w:t>
      </w:r>
    </w:p>
    <w:p>
      <w:pPr>
        <w:spacing w:after="80"/>
        <w:ind w:firstLine="288"/>
        <w:jc w:val="both"/>
      </w:pPr>
      <w:r>
        <w:rPr>
          <w:rFonts w:ascii="Times New Roman" w:hAnsi="Times New Roman"/>
          <w:b w:val="0"/>
          <w:i w:val="0"/>
          <w:sz w:val="20"/>
        </w:rPr>
        <w:t>Job satisfaction shows the most pronounced difference between retained and departed employees (Table III). It produces the strongest Pearson correlation with turnover (r = −0.388). Satisfaction differs by 0.227 points between groups—a 34% relative gap. By contrast, performance evaluation scores are nearly identical (0.715 vs. 0.718), confirming that turnover is a satisfaction problem, not a performance problem.</w:t>
      </w:r>
    </w:p>
    <w:p>
      <w:pPr>
        <w:jc w:val="center"/>
      </w:pPr>
      <w:r>
        <w:rPr>
          <w:rFonts w:ascii="Times New Roman" w:hAnsi="Times New Roman"/>
          <w:b/>
          <w:sz w:val="18"/>
        </w:rPr>
        <w:t>TABLE III.   AVERAGE FEATURE VALUES BY TURNOVER STATUS</w:t>
      </w:r>
    </w:p>
    <w:tbl>
      <w:tblPr>
        <w:tblStyle w:val="TableGrid"/>
        <w:jc w:val="center"/>
        <w:tblLook w:firstColumn="1" w:firstRow="1" w:lastColumn="0" w:lastRow="0" w:noHBand="0" w:noVBand="1" w:val="04A0"/>
        <w:tblW w:w="4680" w:type="dxa"/>
      </w:tblPr>
      <w:tblGrid>
        <w:gridCol w:w="3360"/>
        <w:gridCol w:w="3360"/>
        <w:gridCol w:w="3360"/>
      </w:tblGrid>
      <w:tr>
        <w:tc>
          <w:tcPr>
            <w:tcW w:w="2232" w:type="dxa"/>
          </w:tcPr>
          <w:p>
            <w:r>
              <w:rPr>
                <w:rFonts w:ascii="Times New Roman" w:hAnsi="Times New Roman"/>
                <w:b/>
                <w:sz w:val="18"/>
              </w:rPr>
              <w:t>Feature</w:t>
            </w:r>
          </w:p>
        </w:tc>
        <w:tc>
          <w:tcPr>
            <w:tcW w:w="1224" w:type="dxa"/>
          </w:tcPr>
          <w:p>
            <w:r>
              <w:rPr>
                <w:rFonts w:ascii="Times New Roman" w:hAnsi="Times New Roman"/>
                <w:b/>
                <w:sz w:val="18"/>
              </w:rPr>
              <w:t>Stayed</w:t>
            </w:r>
          </w:p>
        </w:tc>
        <w:tc>
          <w:tcPr>
            <w:tcW w:w="1224" w:type="dxa"/>
          </w:tcPr>
          <w:p>
            <w:r>
              <w:rPr>
                <w:rFonts w:ascii="Times New Roman" w:hAnsi="Times New Roman"/>
                <w:b/>
                <w:sz w:val="18"/>
              </w:rPr>
              <w:t>Left</w:t>
            </w:r>
          </w:p>
        </w:tc>
      </w:tr>
      <w:tr>
        <w:tc>
          <w:tcPr>
            <w:tcW w:w="2232" w:type="dxa"/>
          </w:tcPr>
          <w:p>
            <w:r>
              <w:rPr>
                <w:rFonts w:ascii="Times New Roman" w:hAnsi="Times New Roman"/>
                <w:b w:val="0"/>
                <w:sz w:val="18"/>
              </w:rPr>
              <w:t>Satisfaction level</w:t>
            </w:r>
          </w:p>
        </w:tc>
        <w:tc>
          <w:tcPr>
            <w:tcW w:w="1224" w:type="dxa"/>
          </w:tcPr>
          <w:p>
            <w:r>
              <w:rPr>
                <w:rFonts w:ascii="Times New Roman" w:hAnsi="Times New Roman"/>
                <w:b w:val="0"/>
                <w:sz w:val="18"/>
              </w:rPr>
              <w:t>0.667</w:t>
            </w:r>
          </w:p>
        </w:tc>
        <w:tc>
          <w:tcPr>
            <w:tcW w:w="1224" w:type="dxa"/>
          </w:tcPr>
          <w:p>
            <w:r>
              <w:rPr>
                <w:rFonts w:ascii="Times New Roman" w:hAnsi="Times New Roman"/>
                <w:b w:val="0"/>
                <w:sz w:val="18"/>
              </w:rPr>
              <w:t>0.440</w:t>
            </w:r>
          </w:p>
        </w:tc>
      </w:tr>
      <w:tr>
        <w:tc>
          <w:tcPr>
            <w:tcW w:w="2232" w:type="dxa"/>
          </w:tcPr>
          <w:p>
            <w:r>
              <w:rPr>
                <w:rFonts w:ascii="Times New Roman" w:hAnsi="Times New Roman"/>
                <w:b w:val="0"/>
                <w:sz w:val="18"/>
              </w:rPr>
              <w:t>Last evaluation score</w:t>
            </w:r>
          </w:p>
        </w:tc>
        <w:tc>
          <w:tcPr>
            <w:tcW w:w="1224" w:type="dxa"/>
          </w:tcPr>
          <w:p>
            <w:r>
              <w:rPr>
                <w:rFonts w:ascii="Times New Roman" w:hAnsi="Times New Roman"/>
                <w:b w:val="0"/>
                <w:sz w:val="18"/>
              </w:rPr>
              <w:t>0.715</w:t>
            </w:r>
          </w:p>
        </w:tc>
        <w:tc>
          <w:tcPr>
            <w:tcW w:w="1224" w:type="dxa"/>
          </w:tcPr>
          <w:p>
            <w:r>
              <w:rPr>
                <w:rFonts w:ascii="Times New Roman" w:hAnsi="Times New Roman"/>
                <w:b w:val="0"/>
                <w:sz w:val="18"/>
              </w:rPr>
              <w:t>0.718</w:t>
            </w:r>
          </w:p>
        </w:tc>
      </w:tr>
      <w:tr>
        <w:tc>
          <w:tcPr>
            <w:tcW w:w="2232" w:type="dxa"/>
          </w:tcPr>
          <w:p>
            <w:r>
              <w:rPr>
                <w:rFonts w:ascii="Times New Roman" w:hAnsi="Times New Roman"/>
                <w:b w:val="0"/>
                <w:sz w:val="18"/>
              </w:rPr>
              <w:t>Number of projects</w:t>
            </w:r>
          </w:p>
        </w:tc>
        <w:tc>
          <w:tcPr>
            <w:tcW w:w="1224" w:type="dxa"/>
          </w:tcPr>
          <w:p>
            <w:r>
              <w:rPr>
                <w:rFonts w:ascii="Times New Roman" w:hAnsi="Times New Roman"/>
                <w:b w:val="0"/>
                <w:sz w:val="18"/>
              </w:rPr>
              <w:t>3.79</w:t>
            </w:r>
          </w:p>
        </w:tc>
        <w:tc>
          <w:tcPr>
            <w:tcW w:w="1224" w:type="dxa"/>
          </w:tcPr>
          <w:p>
            <w:r>
              <w:rPr>
                <w:rFonts w:ascii="Times New Roman" w:hAnsi="Times New Roman"/>
                <w:b w:val="0"/>
                <w:sz w:val="18"/>
              </w:rPr>
              <w:t>3.86</w:t>
            </w:r>
          </w:p>
        </w:tc>
      </w:tr>
      <w:tr>
        <w:tc>
          <w:tcPr>
            <w:tcW w:w="2232" w:type="dxa"/>
          </w:tcPr>
          <w:p>
            <w:r>
              <w:rPr>
                <w:rFonts w:ascii="Times New Roman" w:hAnsi="Times New Roman"/>
                <w:b w:val="0"/>
                <w:sz w:val="18"/>
              </w:rPr>
              <w:t>Avg. monthly hours</w:t>
            </w:r>
          </w:p>
        </w:tc>
        <w:tc>
          <w:tcPr>
            <w:tcW w:w="1224" w:type="dxa"/>
          </w:tcPr>
          <w:p>
            <w:r>
              <w:rPr>
                <w:rFonts w:ascii="Times New Roman" w:hAnsi="Times New Roman"/>
                <w:b w:val="0"/>
                <w:sz w:val="18"/>
              </w:rPr>
              <w:t>199.1</w:t>
            </w:r>
          </w:p>
        </w:tc>
        <w:tc>
          <w:tcPr>
            <w:tcW w:w="1224" w:type="dxa"/>
          </w:tcPr>
          <w:p>
            <w:r>
              <w:rPr>
                <w:rFonts w:ascii="Times New Roman" w:hAnsi="Times New Roman"/>
                <w:b w:val="0"/>
                <w:sz w:val="18"/>
              </w:rPr>
              <w:t>207.4</w:t>
            </w:r>
          </w:p>
        </w:tc>
      </w:tr>
      <w:tr>
        <w:tc>
          <w:tcPr>
            <w:tcW w:w="2232" w:type="dxa"/>
          </w:tcPr>
          <w:p>
            <w:r>
              <w:rPr>
                <w:rFonts w:ascii="Times New Roman" w:hAnsi="Times New Roman"/>
                <w:b w:val="0"/>
                <w:sz w:val="18"/>
              </w:rPr>
              <w:t>Years at company</w:t>
            </w:r>
          </w:p>
        </w:tc>
        <w:tc>
          <w:tcPr>
            <w:tcW w:w="1224" w:type="dxa"/>
          </w:tcPr>
          <w:p>
            <w:r>
              <w:rPr>
                <w:rFonts w:ascii="Times New Roman" w:hAnsi="Times New Roman"/>
                <w:b w:val="0"/>
                <w:sz w:val="18"/>
              </w:rPr>
              <w:t>3.38</w:t>
            </w:r>
          </w:p>
        </w:tc>
        <w:tc>
          <w:tcPr>
            <w:tcW w:w="1224" w:type="dxa"/>
          </w:tcPr>
          <w:p>
            <w:r>
              <w:rPr>
                <w:rFonts w:ascii="Times New Roman" w:hAnsi="Times New Roman"/>
                <w:b w:val="0"/>
                <w:sz w:val="18"/>
              </w:rPr>
              <w:t>3.88</w:t>
            </w:r>
          </w:p>
        </w:tc>
      </w:tr>
    </w:tbl>
    <w:p/>
    <w:p>
      <w:pPr>
        <w:spacing w:before="80" w:after="40"/>
        <w:jc w:val="left"/>
      </w:pPr>
      <w:r>
        <w:rPr>
          <w:rFonts w:ascii="Times New Roman" w:hAnsi="Times New Roman"/>
          <w:b w:val="0"/>
          <w:i/>
          <w:sz w:val="20"/>
        </w:rPr>
        <w:t xml:space="preserve">D.  </w:t>
      </w:r>
      <w:r>
        <w:rPr>
          <w:rFonts w:ascii="Times New Roman" w:hAnsi="Times New Roman"/>
          <w:b w:val="0"/>
          <w:i/>
          <w:sz w:val="20"/>
        </w:rPr>
        <w:t>Feature Correlation Analysis</w:t>
      </w:r>
    </w:p>
    <w:p>
      <w:pPr>
        <w:spacing w:after="80"/>
        <w:ind w:firstLine="288"/>
        <w:jc w:val="both"/>
      </w:pPr>
      <w:r>
        <w:rPr>
          <w:rFonts w:ascii="Times New Roman" w:hAnsi="Times New Roman"/>
          <w:b w:val="0"/>
          <w:i w:val="0"/>
          <w:sz w:val="20"/>
        </w:rPr>
        <w:t>Table IV presents the Pearson correlation of each feature with the left outcome, ranked by absolute magnitude. Satisfaction is the strongest predictor by a wide margin (r = −0.388). last_evaluation shows virtually no correlation (r = +0.007), confirming that performance evaluation does not distinguish leavers from stayers.</w:t>
      </w:r>
    </w:p>
    <w:p>
      <w:pPr>
        <w:jc w:val="center"/>
      </w:pPr>
      <w:r>
        <w:rPr>
          <w:rFonts w:ascii="Times New Roman" w:hAnsi="Times New Roman"/>
          <w:b/>
          <w:sz w:val="18"/>
        </w:rPr>
        <w:t>TABLE IV.   FEATURE CORRELATION WITH TURNOVER</w:t>
      </w:r>
    </w:p>
    <w:tbl>
      <w:tblPr>
        <w:tblStyle w:val="TableGrid"/>
        <w:jc w:val="center"/>
        <w:tblLook w:firstColumn="1" w:firstRow="1" w:lastColumn="0" w:lastRow="0" w:noHBand="0" w:noVBand="1" w:val="04A0"/>
        <w:tblW w:w="4680" w:type="dxa"/>
      </w:tblPr>
      <w:tblGrid>
        <w:gridCol w:w="5040"/>
        <w:gridCol w:w="5040"/>
      </w:tblGrid>
      <w:tr>
        <w:tc>
          <w:tcPr>
            <w:tcW w:w="3240" w:type="dxa"/>
          </w:tcPr>
          <w:p>
            <w:r>
              <w:rPr>
                <w:rFonts w:ascii="Times New Roman" w:hAnsi="Times New Roman"/>
                <w:b/>
                <w:sz w:val="18"/>
              </w:rPr>
              <w:t>Feature</w:t>
            </w:r>
          </w:p>
        </w:tc>
        <w:tc>
          <w:tcPr>
            <w:tcW w:w="1440" w:type="dxa"/>
          </w:tcPr>
          <w:p>
            <w:r>
              <w:rPr>
                <w:rFonts w:ascii="Times New Roman" w:hAnsi="Times New Roman"/>
                <w:b/>
                <w:sz w:val="18"/>
              </w:rPr>
              <w:t>Pearson r</w:t>
            </w:r>
          </w:p>
        </w:tc>
      </w:tr>
      <w:tr>
        <w:tc>
          <w:tcPr>
            <w:tcW w:w="3240" w:type="dxa"/>
          </w:tcPr>
          <w:p>
            <w:r>
              <w:rPr>
                <w:rFonts w:ascii="Times New Roman" w:hAnsi="Times New Roman"/>
                <w:b w:val="0"/>
                <w:sz w:val="18"/>
              </w:rPr>
              <w:t>satisfaction_level</w:t>
            </w:r>
          </w:p>
        </w:tc>
        <w:tc>
          <w:tcPr>
            <w:tcW w:w="1440" w:type="dxa"/>
          </w:tcPr>
          <w:p>
            <w:r>
              <w:rPr>
                <w:rFonts w:ascii="Times New Roman" w:hAnsi="Times New Roman"/>
                <w:b w:val="0"/>
                <w:sz w:val="18"/>
              </w:rPr>
              <w:t>−0.388</w:t>
            </w:r>
          </w:p>
        </w:tc>
      </w:tr>
      <w:tr>
        <w:tc>
          <w:tcPr>
            <w:tcW w:w="3240" w:type="dxa"/>
          </w:tcPr>
          <w:p>
            <w:r>
              <w:rPr>
                <w:rFonts w:ascii="Times New Roman" w:hAnsi="Times New Roman"/>
                <w:b w:val="0"/>
                <w:sz w:val="18"/>
              </w:rPr>
              <w:t>work_accident</w:t>
            </w:r>
          </w:p>
        </w:tc>
        <w:tc>
          <w:tcPr>
            <w:tcW w:w="1440" w:type="dxa"/>
          </w:tcPr>
          <w:p>
            <w:r>
              <w:rPr>
                <w:rFonts w:ascii="Times New Roman" w:hAnsi="Times New Roman"/>
                <w:b w:val="0"/>
                <w:sz w:val="18"/>
              </w:rPr>
              <w:t>−0.155</w:t>
            </w:r>
          </w:p>
        </w:tc>
      </w:tr>
      <w:tr>
        <w:tc>
          <w:tcPr>
            <w:tcW w:w="3240" w:type="dxa"/>
          </w:tcPr>
          <w:p>
            <w:r>
              <w:rPr>
                <w:rFonts w:ascii="Times New Roman" w:hAnsi="Times New Roman"/>
                <w:b w:val="0"/>
                <w:sz w:val="18"/>
              </w:rPr>
              <w:t>time_spend_company</w:t>
            </w:r>
          </w:p>
        </w:tc>
        <w:tc>
          <w:tcPr>
            <w:tcW w:w="1440" w:type="dxa"/>
          </w:tcPr>
          <w:p>
            <w:r>
              <w:rPr>
                <w:rFonts w:ascii="Times New Roman" w:hAnsi="Times New Roman"/>
                <w:b w:val="0"/>
                <w:sz w:val="18"/>
              </w:rPr>
              <w:t>+0.145</w:t>
            </w:r>
          </w:p>
        </w:tc>
      </w:tr>
      <w:tr>
        <w:tc>
          <w:tcPr>
            <w:tcW w:w="3240" w:type="dxa"/>
          </w:tcPr>
          <w:p>
            <w:r>
              <w:rPr>
                <w:rFonts w:ascii="Times New Roman" w:hAnsi="Times New Roman"/>
                <w:b w:val="0"/>
                <w:sz w:val="18"/>
              </w:rPr>
              <w:t>average_monthly_hours</w:t>
            </w:r>
          </w:p>
        </w:tc>
        <w:tc>
          <w:tcPr>
            <w:tcW w:w="1440" w:type="dxa"/>
          </w:tcPr>
          <w:p>
            <w:r>
              <w:rPr>
                <w:rFonts w:ascii="Times New Roman" w:hAnsi="Times New Roman"/>
                <w:b w:val="0"/>
                <w:sz w:val="18"/>
              </w:rPr>
              <w:t>+0.071</w:t>
            </w:r>
          </w:p>
        </w:tc>
      </w:tr>
      <w:tr>
        <w:tc>
          <w:tcPr>
            <w:tcW w:w="3240" w:type="dxa"/>
          </w:tcPr>
          <w:p>
            <w:r>
              <w:rPr>
                <w:rFonts w:ascii="Times New Roman" w:hAnsi="Times New Roman"/>
                <w:b w:val="0"/>
                <w:sz w:val="18"/>
              </w:rPr>
              <w:t>promotion_last_5years</w:t>
            </w:r>
          </w:p>
        </w:tc>
        <w:tc>
          <w:tcPr>
            <w:tcW w:w="1440" w:type="dxa"/>
          </w:tcPr>
          <w:p>
            <w:r>
              <w:rPr>
                <w:rFonts w:ascii="Times New Roman" w:hAnsi="Times New Roman"/>
                <w:b w:val="0"/>
                <w:sz w:val="18"/>
              </w:rPr>
              <w:t>−0.062</w:t>
            </w:r>
          </w:p>
        </w:tc>
      </w:tr>
      <w:tr>
        <w:tc>
          <w:tcPr>
            <w:tcW w:w="3240" w:type="dxa"/>
          </w:tcPr>
          <w:p>
            <w:r>
              <w:rPr>
                <w:rFonts w:ascii="Times New Roman" w:hAnsi="Times New Roman"/>
                <w:b w:val="0"/>
                <w:sz w:val="18"/>
              </w:rPr>
              <w:t>number_project</w:t>
            </w:r>
          </w:p>
        </w:tc>
        <w:tc>
          <w:tcPr>
            <w:tcW w:w="1440" w:type="dxa"/>
          </w:tcPr>
          <w:p>
            <w:r>
              <w:rPr>
                <w:rFonts w:ascii="Times New Roman" w:hAnsi="Times New Roman"/>
                <w:b w:val="0"/>
                <w:sz w:val="18"/>
              </w:rPr>
              <w:t>+0.024</w:t>
            </w:r>
          </w:p>
        </w:tc>
      </w:tr>
      <w:tr>
        <w:tc>
          <w:tcPr>
            <w:tcW w:w="3240" w:type="dxa"/>
          </w:tcPr>
          <w:p>
            <w:r>
              <w:rPr>
                <w:rFonts w:ascii="Times New Roman" w:hAnsi="Times New Roman"/>
                <w:b w:val="0"/>
                <w:sz w:val="18"/>
              </w:rPr>
              <w:t>last_evaluation</w:t>
            </w:r>
          </w:p>
        </w:tc>
        <w:tc>
          <w:tcPr>
            <w:tcW w:w="1440" w:type="dxa"/>
          </w:tcPr>
          <w:p>
            <w:r>
              <w:rPr>
                <w:rFonts w:ascii="Times New Roman" w:hAnsi="Times New Roman"/>
                <w:b w:val="0"/>
                <w:sz w:val="18"/>
              </w:rPr>
              <w:t>+0.007</w:t>
            </w:r>
          </w:p>
        </w:tc>
      </w:tr>
    </w:tbl>
    <w:p/>
    <w:p>
      <w:pPr>
        <w:spacing w:before="80" w:after="40"/>
        <w:jc w:val="left"/>
      </w:pPr>
      <w:r>
        <w:rPr>
          <w:rFonts w:ascii="Times New Roman" w:hAnsi="Times New Roman"/>
          <w:b w:val="0"/>
          <w:i/>
          <w:sz w:val="20"/>
        </w:rPr>
        <w:t xml:space="preserve">E.  </w:t>
      </w:r>
      <w:r>
        <w:rPr>
          <w:rFonts w:ascii="Times New Roman" w:hAnsi="Times New Roman"/>
          <w:b w:val="0"/>
          <w:i/>
          <w:sz w:val="20"/>
        </w:rPr>
        <w:t>Workload and Turnover</w:t>
      </w:r>
    </w:p>
    <w:p>
      <w:pPr>
        <w:spacing w:after="80"/>
        <w:ind w:firstLine="288"/>
        <w:jc w:val="both"/>
      </w:pPr>
      <w:r>
        <w:rPr>
          <w:rFonts w:ascii="Times New Roman" w:hAnsi="Times New Roman"/>
          <w:b w:val="0"/>
          <w:i w:val="0"/>
          <w:sz w:val="20"/>
        </w:rPr>
        <w:t>Employees who left worked an average of 207.4 hours per month compared to 199.1 for those who stayed—a difference of 8.3 hours, or roughly two extra workdays per month. The correlation of average_monthly_hours with turnover (r = +0.071) suggests overwork is a contributing factor, though it acts as a compounding stressor alongside low satisfaction and low pay rather than an independent primary driver.</w:t>
      </w:r>
    </w:p>
    <w:p>
      <w:pPr>
        <w:spacing w:before="80" w:after="40"/>
        <w:jc w:val="left"/>
      </w:pPr>
      <w:r>
        <w:rPr>
          <w:rFonts w:ascii="Times New Roman" w:hAnsi="Times New Roman"/>
          <w:b w:val="0"/>
          <w:i/>
          <w:sz w:val="20"/>
        </w:rPr>
        <w:t xml:space="preserve">F.  </w:t>
      </w:r>
      <w:r>
        <w:rPr>
          <w:rFonts w:ascii="Times New Roman" w:hAnsi="Times New Roman"/>
          <w:b w:val="0"/>
          <w:i/>
          <w:sz w:val="20"/>
        </w:rPr>
        <w:t>High-Risk Employee Profiling</w:t>
      </w:r>
    </w:p>
    <w:p>
      <w:pPr>
        <w:spacing w:after="80"/>
        <w:ind w:firstLine="288"/>
        <w:jc w:val="both"/>
      </w:pPr>
      <w:r>
        <w:rPr>
          <w:rFonts w:ascii="Times New Roman" w:hAnsi="Times New Roman"/>
          <w:b w:val="0"/>
          <w:i w:val="0"/>
          <w:sz w:val="20"/>
        </w:rPr>
        <w:t>Applying the compound risk profile (satisfaction &lt; 0.4, salary = low, no promotion in 5 years, still employed), the analysis identified 615 current employees who match all three criteria. Table V shows the ten highest-risk individuals by lowest satisfaction score.</w:t>
      </w:r>
    </w:p>
    <w:p>
      <w:pPr>
        <w:jc w:val="center"/>
      </w:pPr>
      <w:r>
        <w:rPr>
          <w:rFonts w:ascii="Times New Roman" w:hAnsi="Times New Roman"/>
          <w:b/>
          <w:sz w:val="18"/>
        </w:rPr>
        <w:t>TABLE V.   SAMPLE HIGH-RISK EMPLOYEES (TOP 10)</w:t>
      </w:r>
    </w:p>
    <w:tbl>
      <w:tblPr>
        <w:tblStyle w:val="TableGrid"/>
        <w:jc w:val="center"/>
        <w:tblLook w:firstColumn="1" w:firstRow="1" w:lastColumn="0" w:lastRow="0" w:noHBand="0" w:noVBand="1" w:val="04A0"/>
        <w:tblW w:w="4680" w:type="dxa"/>
      </w:tblPr>
      <w:tblGrid>
        <w:gridCol w:w="2520"/>
        <w:gridCol w:w="2520"/>
        <w:gridCol w:w="2520"/>
        <w:gridCol w:w="2520"/>
      </w:tblGrid>
      <w:tr>
        <w:tc>
          <w:tcPr>
            <w:tcW w:w="1080" w:type="dxa"/>
          </w:tcPr>
          <w:p>
            <w:r>
              <w:rPr>
                <w:rFonts w:ascii="Times New Roman" w:hAnsi="Times New Roman"/>
                <w:b/>
                <w:sz w:val="18"/>
              </w:rPr>
              <w:t>Emp. ID</w:t>
            </w:r>
          </w:p>
        </w:tc>
        <w:tc>
          <w:tcPr>
            <w:tcW w:w="1224" w:type="dxa"/>
          </w:tcPr>
          <w:p>
            <w:r>
              <w:rPr>
                <w:rFonts w:ascii="Times New Roman" w:hAnsi="Times New Roman"/>
                <w:b/>
                <w:sz w:val="18"/>
              </w:rPr>
              <w:t>Satisfaction</w:t>
            </w:r>
          </w:p>
        </w:tc>
        <w:tc>
          <w:tcPr>
            <w:tcW w:w="1080" w:type="dxa"/>
          </w:tcPr>
          <w:p>
            <w:r>
              <w:rPr>
                <w:rFonts w:ascii="Times New Roman" w:hAnsi="Times New Roman"/>
                <w:b/>
                <w:sz w:val="18"/>
              </w:rPr>
              <w:t>Hrs/Mo</w:t>
            </w:r>
          </w:p>
        </w:tc>
        <w:tc>
          <w:tcPr>
            <w:tcW w:w="1296" w:type="dxa"/>
          </w:tcPr>
          <w:p>
            <w:r>
              <w:rPr>
                <w:rFonts w:ascii="Times New Roman" w:hAnsi="Times New Roman"/>
                <w:b/>
                <w:sz w:val="18"/>
              </w:rPr>
              <w:t>Tenure (yrs)</w:t>
            </w:r>
          </w:p>
        </w:tc>
      </w:tr>
      <w:tr>
        <w:tc>
          <w:tcPr>
            <w:tcW w:w="1080" w:type="dxa"/>
          </w:tcPr>
          <w:p>
            <w:r>
              <w:rPr>
                <w:rFonts w:ascii="Times New Roman" w:hAnsi="Times New Roman"/>
                <w:b w:val="0"/>
                <w:sz w:val="18"/>
              </w:rPr>
              <w:t>2087</w:t>
            </w:r>
          </w:p>
        </w:tc>
        <w:tc>
          <w:tcPr>
            <w:tcW w:w="1224" w:type="dxa"/>
          </w:tcPr>
          <w:p>
            <w:r>
              <w:rPr>
                <w:rFonts w:ascii="Times New Roman" w:hAnsi="Times New Roman"/>
                <w:b w:val="0"/>
                <w:sz w:val="18"/>
              </w:rPr>
              <w:t>0.12</w:t>
            </w:r>
          </w:p>
        </w:tc>
        <w:tc>
          <w:tcPr>
            <w:tcW w:w="1080" w:type="dxa"/>
          </w:tcPr>
          <w:p>
            <w:r>
              <w:rPr>
                <w:rFonts w:ascii="Times New Roman" w:hAnsi="Times New Roman"/>
                <w:b w:val="0"/>
                <w:sz w:val="18"/>
              </w:rPr>
              <w:t>244</w:t>
            </w:r>
          </w:p>
        </w:tc>
        <w:tc>
          <w:tcPr>
            <w:tcW w:w="1296" w:type="dxa"/>
          </w:tcPr>
          <w:p>
            <w:r>
              <w:rPr>
                <w:rFonts w:ascii="Times New Roman" w:hAnsi="Times New Roman"/>
                <w:b w:val="0"/>
                <w:sz w:val="18"/>
              </w:rPr>
              <w:t>5</w:t>
            </w:r>
          </w:p>
        </w:tc>
      </w:tr>
      <w:tr>
        <w:tc>
          <w:tcPr>
            <w:tcW w:w="1080" w:type="dxa"/>
          </w:tcPr>
          <w:p>
            <w:r>
              <w:rPr>
                <w:rFonts w:ascii="Times New Roman" w:hAnsi="Times New Roman"/>
                <w:b w:val="0"/>
                <w:sz w:val="18"/>
              </w:rPr>
              <w:t>3129</w:t>
            </w:r>
          </w:p>
        </w:tc>
        <w:tc>
          <w:tcPr>
            <w:tcW w:w="1224" w:type="dxa"/>
          </w:tcPr>
          <w:p>
            <w:r>
              <w:rPr>
                <w:rFonts w:ascii="Times New Roman" w:hAnsi="Times New Roman"/>
                <w:b w:val="0"/>
                <w:sz w:val="18"/>
              </w:rPr>
              <w:t>0.12</w:t>
            </w:r>
          </w:p>
        </w:tc>
        <w:tc>
          <w:tcPr>
            <w:tcW w:w="1080" w:type="dxa"/>
          </w:tcPr>
          <w:p>
            <w:r>
              <w:rPr>
                <w:rFonts w:ascii="Times New Roman" w:hAnsi="Times New Roman"/>
                <w:b w:val="0"/>
                <w:sz w:val="18"/>
              </w:rPr>
              <w:t>257</w:t>
            </w:r>
          </w:p>
        </w:tc>
        <w:tc>
          <w:tcPr>
            <w:tcW w:w="1296" w:type="dxa"/>
          </w:tcPr>
          <w:p>
            <w:r>
              <w:rPr>
                <w:rFonts w:ascii="Times New Roman" w:hAnsi="Times New Roman"/>
                <w:b w:val="0"/>
                <w:sz w:val="18"/>
              </w:rPr>
              <w:t>6</w:t>
            </w:r>
          </w:p>
        </w:tc>
      </w:tr>
      <w:tr>
        <w:tc>
          <w:tcPr>
            <w:tcW w:w="1080" w:type="dxa"/>
          </w:tcPr>
          <w:p>
            <w:r>
              <w:rPr>
                <w:rFonts w:ascii="Times New Roman" w:hAnsi="Times New Roman"/>
                <w:b w:val="0"/>
                <w:sz w:val="18"/>
              </w:rPr>
              <w:t>4026</w:t>
            </w:r>
          </w:p>
        </w:tc>
        <w:tc>
          <w:tcPr>
            <w:tcW w:w="1224" w:type="dxa"/>
          </w:tcPr>
          <w:p>
            <w:r>
              <w:rPr>
                <w:rFonts w:ascii="Times New Roman" w:hAnsi="Times New Roman"/>
                <w:b w:val="0"/>
                <w:sz w:val="18"/>
              </w:rPr>
              <w:t>0.12</w:t>
            </w:r>
          </w:p>
        </w:tc>
        <w:tc>
          <w:tcPr>
            <w:tcW w:w="1080" w:type="dxa"/>
          </w:tcPr>
          <w:p>
            <w:r>
              <w:rPr>
                <w:rFonts w:ascii="Times New Roman" w:hAnsi="Times New Roman"/>
                <w:b w:val="0"/>
                <w:sz w:val="18"/>
              </w:rPr>
              <w:t>241</w:t>
            </w:r>
          </w:p>
        </w:tc>
        <w:tc>
          <w:tcPr>
            <w:tcW w:w="1296" w:type="dxa"/>
          </w:tcPr>
          <w:p>
            <w:r>
              <w:rPr>
                <w:rFonts w:ascii="Times New Roman" w:hAnsi="Times New Roman"/>
                <w:b w:val="0"/>
                <w:sz w:val="18"/>
              </w:rPr>
              <w:t>2</w:t>
            </w:r>
          </w:p>
        </w:tc>
      </w:tr>
      <w:tr>
        <w:tc>
          <w:tcPr>
            <w:tcW w:w="1080" w:type="dxa"/>
          </w:tcPr>
          <w:p>
            <w:r>
              <w:rPr>
                <w:rFonts w:ascii="Times New Roman" w:hAnsi="Times New Roman"/>
                <w:b w:val="0"/>
                <w:sz w:val="18"/>
              </w:rPr>
              <w:t>4684</w:t>
            </w:r>
          </w:p>
        </w:tc>
        <w:tc>
          <w:tcPr>
            <w:tcW w:w="1224" w:type="dxa"/>
          </w:tcPr>
          <w:p>
            <w:r>
              <w:rPr>
                <w:rFonts w:ascii="Times New Roman" w:hAnsi="Times New Roman"/>
                <w:b w:val="0"/>
                <w:sz w:val="18"/>
              </w:rPr>
              <w:t>0.12</w:t>
            </w:r>
          </w:p>
        </w:tc>
        <w:tc>
          <w:tcPr>
            <w:tcW w:w="1080" w:type="dxa"/>
          </w:tcPr>
          <w:p>
            <w:r>
              <w:rPr>
                <w:rFonts w:ascii="Times New Roman" w:hAnsi="Times New Roman"/>
                <w:b w:val="0"/>
                <w:sz w:val="18"/>
              </w:rPr>
              <w:t>276</w:t>
            </w:r>
          </w:p>
        </w:tc>
        <w:tc>
          <w:tcPr>
            <w:tcW w:w="1296" w:type="dxa"/>
          </w:tcPr>
          <w:p>
            <w:r>
              <w:rPr>
                <w:rFonts w:ascii="Times New Roman" w:hAnsi="Times New Roman"/>
                <w:b w:val="0"/>
                <w:sz w:val="18"/>
              </w:rPr>
              <w:t>4</w:t>
            </w:r>
          </w:p>
        </w:tc>
      </w:tr>
      <w:tr>
        <w:tc>
          <w:tcPr>
            <w:tcW w:w="1080" w:type="dxa"/>
          </w:tcPr>
          <w:p>
            <w:r>
              <w:rPr>
                <w:rFonts w:ascii="Times New Roman" w:hAnsi="Times New Roman"/>
                <w:b w:val="0"/>
                <w:sz w:val="18"/>
              </w:rPr>
              <w:t>5336</w:t>
            </w:r>
          </w:p>
        </w:tc>
        <w:tc>
          <w:tcPr>
            <w:tcW w:w="1224" w:type="dxa"/>
          </w:tcPr>
          <w:p>
            <w:r>
              <w:rPr>
                <w:rFonts w:ascii="Times New Roman" w:hAnsi="Times New Roman"/>
                <w:b w:val="0"/>
                <w:sz w:val="18"/>
              </w:rPr>
              <w:t>0.12</w:t>
            </w:r>
          </w:p>
        </w:tc>
        <w:tc>
          <w:tcPr>
            <w:tcW w:w="1080" w:type="dxa"/>
          </w:tcPr>
          <w:p>
            <w:r>
              <w:rPr>
                <w:rFonts w:ascii="Times New Roman" w:hAnsi="Times New Roman"/>
                <w:b w:val="0"/>
                <w:sz w:val="18"/>
              </w:rPr>
              <w:t>166</w:t>
            </w:r>
          </w:p>
        </w:tc>
        <w:tc>
          <w:tcPr>
            <w:tcW w:w="1296" w:type="dxa"/>
          </w:tcPr>
          <w:p>
            <w:r>
              <w:rPr>
                <w:rFonts w:ascii="Times New Roman" w:hAnsi="Times New Roman"/>
                <w:b w:val="0"/>
                <w:sz w:val="18"/>
              </w:rPr>
              <w:t>3</w:t>
            </w:r>
          </w:p>
        </w:tc>
      </w:tr>
      <w:tr>
        <w:tc>
          <w:tcPr>
            <w:tcW w:w="1080" w:type="dxa"/>
          </w:tcPr>
          <w:p>
            <w:r>
              <w:rPr>
                <w:rFonts w:ascii="Times New Roman" w:hAnsi="Times New Roman"/>
                <w:b w:val="0"/>
                <w:sz w:val="18"/>
              </w:rPr>
              <w:t>7772</w:t>
            </w:r>
          </w:p>
        </w:tc>
        <w:tc>
          <w:tcPr>
            <w:tcW w:w="1224" w:type="dxa"/>
          </w:tcPr>
          <w:p>
            <w:r>
              <w:rPr>
                <w:rFonts w:ascii="Times New Roman" w:hAnsi="Times New Roman"/>
                <w:b w:val="0"/>
                <w:sz w:val="18"/>
              </w:rPr>
              <w:t>0.12</w:t>
            </w:r>
          </w:p>
        </w:tc>
        <w:tc>
          <w:tcPr>
            <w:tcW w:w="1080" w:type="dxa"/>
          </w:tcPr>
          <w:p>
            <w:r>
              <w:rPr>
                <w:rFonts w:ascii="Times New Roman" w:hAnsi="Times New Roman"/>
                <w:b w:val="0"/>
                <w:sz w:val="18"/>
              </w:rPr>
              <w:t>161</w:t>
            </w:r>
          </w:p>
        </w:tc>
        <w:tc>
          <w:tcPr>
            <w:tcW w:w="1296" w:type="dxa"/>
          </w:tcPr>
          <w:p>
            <w:r>
              <w:rPr>
                <w:rFonts w:ascii="Times New Roman" w:hAnsi="Times New Roman"/>
                <w:b w:val="0"/>
                <w:sz w:val="18"/>
              </w:rPr>
              <w:t>4</w:t>
            </w:r>
          </w:p>
        </w:tc>
      </w:tr>
      <w:tr>
        <w:tc>
          <w:tcPr>
            <w:tcW w:w="1080" w:type="dxa"/>
          </w:tcPr>
          <w:p>
            <w:r>
              <w:rPr>
                <w:rFonts w:ascii="Times New Roman" w:hAnsi="Times New Roman"/>
                <w:b w:val="0"/>
                <w:sz w:val="18"/>
              </w:rPr>
              <w:t>8745</w:t>
            </w:r>
          </w:p>
        </w:tc>
        <w:tc>
          <w:tcPr>
            <w:tcW w:w="1224" w:type="dxa"/>
          </w:tcPr>
          <w:p>
            <w:r>
              <w:rPr>
                <w:rFonts w:ascii="Times New Roman" w:hAnsi="Times New Roman"/>
                <w:b w:val="0"/>
                <w:sz w:val="18"/>
              </w:rPr>
              <w:t>0.12</w:t>
            </w:r>
          </w:p>
        </w:tc>
        <w:tc>
          <w:tcPr>
            <w:tcW w:w="1080" w:type="dxa"/>
          </w:tcPr>
          <w:p>
            <w:r>
              <w:rPr>
                <w:rFonts w:ascii="Times New Roman" w:hAnsi="Times New Roman"/>
                <w:b w:val="0"/>
                <w:sz w:val="18"/>
              </w:rPr>
              <w:t>287</w:t>
            </w:r>
          </w:p>
        </w:tc>
        <w:tc>
          <w:tcPr>
            <w:tcW w:w="1296" w:type="dxa"/>
          </w:tcPr>
          <w:p>
            <w:r>
              <w:rPr>
                <w:rFonts w:ascii="Times New Roman" w:hAnsi="Times New Roman"/>
                <w:b w:val="0"/>
                <w:sz w:val="18"/>
              </w:rPr>
              <w:t>4</w:t>
            </w:r>
          </w:p>
        </w:tc>
      </w:tr>
      <w:tr>
        <w:tc>
          <w:tcPr>
            <w:tcW w:w="1080" w:type="dxa"/>
          </w:tcPr>
          <w:p>
            <w:r>
              <w:rPr>
                <w:rFonts w:ascii="Times New Roman" w:hAnsi="Times New Roman"/>
                <w:b w:val="0"/>
                <w:sz w:val="18"/>
              </w:rPr>
              <w:t>9283</w:t>
            </w:r>
          </w:p>
        </w:tc>
        <w:tc>
          <w:tcPr>
            <w:tcW w:w="1224" w:type="dxa"/>
          </w:tcPr>
          <w:p>
            <w:r>
              <w:rPr>
                <w:rFonts w:ascii="Times New Roman" w:hAnsi="Times New Roman"/>
                <w:b w:val="0"/>
                <w:sz w:val="18"/>
              </w:rPr>
              <w:t>0.12</w:t>
            </w:r>
          </w:p>
        </w:tc>
        <w:tc>
          <w:tcPr>
            <w:tcW w:w="1080" w:type="dxa"/>
          </w:tcPr>
          <w:p>
            <w:r>
              <w:rPr>
                <w:rFonts w:ascii="Times New Roman" w:hAnsi="Times New Roman"/>
                <w:b w:val="0"/>
                <w:sz w:val="18"/>
              </w:rPr>
              <w:t>200</w:t>
            </w:r>
          </w:p>
        </w:tc>
        <w:tc>
          <w:tcPr>
            <w:tcW w:w="1296" w:type="dxa"/>
          </w:tcPr>
          <w:p>
            <w:r>
              <w:rPr>
                <w:rFonts w:ascii="Times New Roman" w:hAnsi="Times New Roman"/>
                <w:b w:val="0"/>
                <w:sz w:val="18"/>
              </w:rPr>
              <w:t>3</w:t>
            </w:r>
          </w:p>
        </w:tc>
      </w:tr>
      <w:tr>
        <w:tc>
          <w:tcPr>
            <w:tcW w:w="1080" w:type="dxa"/>
          </w:tcPr>
          <w:p>
            <w:r>
              <w:rPr>
                <w:rFonts w:ascii="Times New Roman" w:hAnsi="Times New Roman"/>
                <w:b w:val="0"/>
                <w:sz w:val="18"/>
              </w:rPr>
              <w:t>11069</w:t>
            </w:r>
          </w:p>
        </w:tc>
        <w:tc>
          <w:tcPr>
            <w:tcW w:w="1224" w:type="dxa"/>
          </w:tcPr>
          <w:p>
            <w:r>
              <w:rPr>
                <w:rFonts w:ascii="Times New Roman" w:hAnsi="Times New Roman"/>
                <w:b w:val="0"/>
                <w:sz w:val="18"/>
              </w:rPr>
              <w:t>0.12</w:t>
            </w:r>
          </w:p>
        </w:tc>
        <w:tc>
          <w:tcPr>
            <w:tcW w:w="1080" w:type="dxa"/>
          </w:tcPr>
          <w:p>
            <w:r>
              <w:rPr>
                <w:rFonts w:ascii="Times New Roman" w:hAnsi="Times New Roman"/>
                <w:b w:val="0"/>
                <w:sz w:val="18"/>
              </w:rPr>
              <w:t>191</w:t>
            </w:r>
          </w:p>
        </w:tc>
        <w:tc>
          <w:tcPr>
            <w:tcW w:w="1296" w:type="dxa"/>
          </w:tcPr>
          <w:p>
            <w:r>
              <w:rPr>
                <w:rFonts w:ascii="Times New Roman" w:hAnsi="Times New Roman"/>
                <w:b w:val="0"/>
                <w:sz w:val="18"/>
              </w:rPr>
              <w:t>5</w:t>
            </w:r>
          </w:p>
        </w:tc>
      </w:tr>
      <w:tr>
        <w:tc>
          <w:tcPr>
            <w:tcW w:w="1080" w:type="dxa"/>
          </w:tcPr>
          <w:p>
            <w:r>
              <w:rPr>
                <w:rFonts w:ascii="Times New Roman" w:hAnsi="Times New Roman"/>
                <w:b w:val="0"/>
                <w:sz w:val="18"/>
              </w:rPr>
              <w:t>13280</w:t>
            </w:r>
          </w:p>
        </w:tc>
        <w:tc>
          <w:tcPr>
            <w:tcW w:w="1224" w:type="dxa"/>
          </w:tcPr>
          <w:p>
            <w:r>
              <w:rPr>
                <w:rFonts w:ascii="Times New Roman" w:hAnsi="Times New Roman"/>
                <w:b w:val="0"/>
                <w:sz w:val="18"/>
              </w:rPr>
              <w:t>0.12</w:t>
            </w:r>
          </w:p>
        </w:tc>
        <w:tc>
          <w:tcPr>
            <w:tcW w:w="1080" w:type="dxa"/>
          </w:tcPr>
          <w:p>
            <w:r>
              <w:rPr>
                <w:rFonts w:ascii="Times New Roman" w:hAnsi="Times New Roman"/>
                <w:b w:val="0"/>
                <w:sz w:val="18"/>
              </w:rPr>
              <w:t>191</w:t>
            </w:r>
          </w:p>
        </w:tc>
        <w:tc>
          <w:tcPr>
            <w:tcW w:w="1296" w:type="dxa"/>
          </w:tcPr>
          <w:p>
            <w:r>
              <w:rPr>
                <w:rFonts w:ascii="Times New Roman" w:hAnsi="Times New Roman"/>
                <w:b w:val="0"/>
                <w:sz w:val="18"/>
              </w:rPr>
              <w:t>5</w:t>
            </w:r>
          </w:p>
        </w:tc>
      </w:tr>
    </w:tbl>
    <w:p/>
    <w:p>
      <w:pPr>
        <w:spacing w:before="160" w:after="80"/>
        <w:jc w:val="center"/>
      </w:pPr>
      <w:r>
        <w:rPr>
          <w:rFonts w:ascii="Times New Roman" w:hAnsi="Times New Roman"/>
          <w:b/>
          <w:i w:val="0"/>
          <w:sz w:val="20"/>
        </w:rPr>
        <w:t>VI.  DISCUSSION</w:t>
      </w:r>
    </w:p>
    <w:p>
      <w:pPr>
        <w:spacing w:before="80" w:after="40"/>
        <w:jc w:val="left"/>
      </w:pPr>
      <w:r>
        <w:rPr>
          <w:rFonts w:ascii="Times New Roman" w:hAnsi="Times New Roman"/>
          <w:b w:val="0"/>
          <w:i/>
          <w:sz w:val="20"/>
        </w:rPr>
        <w:t xml:space="preserve">A.  </w:t>
      </w:r>
      <w:r>
        <w:rPr>
          <w:rFonts w:ascii="Times New Roman" w:hAnsi="Times New Roman"/>
          <w:b w:val="0"/>
          <w:i/>
          <w:sz w:val="20"/>
        </w:rPr>
        <w:t>Compensation is the Dominant Structural Factor</w:t>
      </w:r>
    </w:p>
    <w:p>
      <w:pPr>
        <w:spacing w:after="80"/>
        <w:ind w:firstLine="288"/>
        <w:jc w:val="both"/>
      </w:pPr>
      <w:r>
        <w:rPr>
          <w:rFonts w:ascii="Times New Roman" w:hAnsi="Times New Roman"/>
          <w:b w:val="0"/>
          <w:i w:val="0"/>
          <w:sz w:val="20"/>
        </w:rPr>
        <w:t>The four-to-one ratio in turnover rates between low and high salary tiers is the single most actionable finding in this study. It suggests that compensation structure creates a systemic attrition risk that cannot be resolved through engagement programs or managerial coaching alone. Organizations with large proportions of low-salary employees should treat compensation review as a primary retention strategy [2].</w:t>
      </w:r>
    </w:p>
    <w:p>
      <w:pPr>
        <w:spacing w:before="80" w:after="40"/>
        <w:jc w:val="left"/>
      </w:pPr>
      <w:r>
        <w:rPr>
          <w:rFonts w:ascii="Times New Roman" w:hAnsi="Times New Roman"/>
          <w:b w:val="0"/>
          <w:i/>
          <w:sz w:val="20"/>
        </w:rPr>
        <w:t xml:space="preserve">B.  </w:t>
      </w:r>
      <w:r>
        <w:rPr>
          <w:rFonts w:ascii="Times New Roman" w:hAnsi="Times New Roman"/>
          <w:b w:val="0"/>
          <w:i/>
          <w:sz w:val="20"/>
        </w:rPr>
        <w:t>Satisfaction Predicts Turnover Independently of Performance</w:t>
      </w:r>
    </w:p>
    <w:p>
      <w:pPr>
        <w:spacing w:after="80"/>
        <w:ind w:firstLine="288"/>
        <w:jc w:val="both"/>
      </w:pPr>
      <w:r>
        <w:rPr>
          <w:rFonts w:ascii="Times New Roman" w:hAnsi="Times New Roman"/>
          <w:b w:val="0"/>
          <w:i w:val="0"/>
          <w:sz w:val="20"/>
        </w:rPr>
        <w:t>The near-identical evaluation scores between leavers and stayers (0.718 vs. 0.715), combined with the near-zero correlation of last_evaluation (r = +0.007), challenges the common assumption that turnover is driven by underperformers. Departed employees were equally well-evaluated as retained ones. This replicates Mobley's foundational finding [1] and underscores that retention efforts should be framed as a satisfaction and engagement problem, not a performance management problem.</w:t>
      </w:r>
    </w:p>
    <w:p>
      <w:pPr>
        <w:spacing w:before="80" w:after="40"/>
        <w:jc w:val="left"/>
      </w:pPr>
      <w:r>
        <w:rPr>
          <w:rFonts w:ascii="Times New Roman" w:hAnsi="Times New Roman"/>
          <w:b w:val="0"/>
          <w:i/>
          <w:sz w:val="20"/>
        </w:rPr>
        <w:t xml:space="preserve">C.  </w:t>
      </w:r>
      <w:r>
        <w:rPr>
          <w:rFonts w:ascii="Times New Roman" w:hAnsi="Times New Roman"/>
          <w:b w:val="0"/>
          <w:i/>
          <w:sz w:val="20"/>
        </w:rPr>
        <w:t>Workload Acts as a Compounding Risk Factor</w:t>
      </w:r>
    </w:p>
    <w:p>
      <w:pPr>
        <w:spacing w:after="80"/>
        <w:ind w:firstLine="288"/>
        <w:jc w:val="both"/>
      </w:pPr>
      <w:r>
        <w:rPr>
          <w:rFonts w:ascii="Times New Roman" w:hAnsi="Times New Roman"/>
          <w:b w:val="0"/>
          <w:i w:val="0"/>
          <w:sz w:val="20"/>
        </w:rPr>
        <w:t>The highest-risk employees combine low satisfaction with above-average hours, suggesting overwork amplifies the effect of low satisfaction rather than driving attrition independently. HR interventions should target the intersection of these factors, not either factor in isolation [3].</w:t>
      </w:r>
    </w:p>
    <w:p>
      <w:pPr>
        <w:spacing w:before="80" w:after="40"/>
        <w:jc w:val="left"/>
      </w:pPr>
      <w:r>
        <w:rPr>
          <w:rFonts w:ascii="Times New Roman" w:hAnsi="Times New Roman"/>
          <w:b w:val="0"/>
          <w:i/>
          <w:sz w:val="20"/>
        </w:rPr>
        <w:t xml:space="preserve">D.  </w:t>
      </w:r>
      <w:r>
        <w:rPr>
          <w:rFonts w:ascii="Times New Roman" w:hAnsi="Times New Roman"/>
          <w:b w:val="0"/>
          <w:i/>
          <w:sz w:val="20"/>
        </w:rPr>
        <w:t>Early Intervention Opportunity</w:t>
      </w:r>
    </w:p>
    <w:p>
      <w:pPr>
        <w:spacing w:after="80"/>
        <w:ind w:firstLine="288"/>
        <w:jc w:val="both"/>
      </w:pPr>
      <w:r>
        <w:rPr>
          <w:rFonts w:ascii="Times New Roman" w:hAnsi="Times New Roman"/>
          <w:b w:val="0"/>
          <w:i w:val="0"/>
          <w:sz w:val="20"/>
        </w:rPr>
        <w:t>The identification of 615 high-risk current employees is the most practically valuable output of this analysis. Unlike post-departure analyses, this profiling approach is actionable before attrition occurs. HR departments can operationalize it as a recurring SQL query to generate a prioritized list for manager outreach, salary review, or promotion consideration.</w:t>
      </w:r>
    </w:p>
    <w:p>
      <w:pPr>
        <w:spacing w:before="80" w:after="40"/>
        <w:jc w:val="left"/>
      </w:pPr>
      <w:r>
        <w:rPr>
          <w:rFonts w:ascii="Times New Roman" w:hAnsi="Times New Roman"/>
          <w:b w:val="0"/>
          <w:i/>
          <w:sz w:val="20"/>
        </w:rPr>
        <w:t xml:space="preserve">E.  </w:t>
      </w:r>
      <w:r>
        <w:rPr>
          <w:rFonts w:ascii="Times New Roman" w:hAnsi="Times New Roman"/>
          <w:b w:val="0"/>
          <w:i/>
          <w:sz w:val="20"/>
        </w:rPr>
        <w:t>Limitations</w:t>
      </w:r>
    </w:p>
    <w:p>
      <w:pPr>
        <w:spacing w:after="80"/>
        <w:ind w:firstLine="288"/>
        <w:jc w:val="both"/>
      </w:pPr>
      <w:r>
        <w:rPr>
          <w:rFonts w:ascii="Times New Roman" w:hAnsi="Times New Roman"/>
          <w:b w:val="0"/>
          <w:i w:val="0"/>
          <w:sz w:val="20"/>
        </w:rPr>
        <w:t>This study has several limitations. First, the dataset is simulated [9] and does not represent a specific organization, limiting generalizability. Second, the analysis is descriptive rather than causal: we identify associations, not causal effects. Third, the dataset lacks department or role information, which likely moderates many relationships observed. Fourth, class imbalance (~24% leavers) should be addressed before extending this framework to predictive modeling.</w:t>
      </w:r>
    </w:p>
    <w:p>
      <w:pPr>
        <w:spacing w:before="160" w:after="80"/>
        <w:jc w:val="center"/>
      </w:pPr>
      <w:r>
        <w:rPr>
          <w:rFonts w:ascii="Times New Roman" w:hAnsi="Times New Roman"/>
          <w:b/>
          <w:i w:val="0"/>
          <w:sz w:val="20"/>
        </w:rPr>
        <w:t>VII.  CONCLUSION</w:t>
      </w:r>
    </w:p>
    <w:p>
      <w:pPr>
        <w:spacing w:after="80"/>
        <w:ind w:firstLine="288"/>
        <w:jc w:val="both"/>
      </w:pPr>
      <w:r>
        <w:rPr>
          <w:rFonts w:ascii="Times New Roman" w:hAnsi="Times New Roman"/>
          <w:b w:val="0"/>
          <w:i w:val="0"/>
          <w:sz w:val="20"/>
        </w:rPr>
        <w:t>This paper analyzed an HR dataset of 14,999 employees to identify the factors most strongly associated with workforce attrition. Salary tier and job satisfaction are the two dominant predictors of turnover—with satisfaction producing the strongest correlation (r = −0.388)—while performance evaluation is essentially uncorrelated with departure (r = +0.007). Critically, departed employees were equally well-evaluated as retained employees, confirming that turnover is a satisfaction problem, not a performance problem.</w:t>
      </w:r>
    </w:p>
    <w:p>
      <w:pPr>
        <w:spacing w:after="80"/>
        <w:ind w:firstLine="288"/>
        <w:jc w:val="both"/>
      </w:pPr>
      <w:r>
        <w:rPr>
          <w:rFonts w:ascii="Times New Roman" w:hAnsi="Times New Roman"/>
          <w:b w:val="0"/>
          <w:i w:val="0"/>
          <w:sz w:val="20"/>
        </w:rPr>
        <w:t>By normalizing a flat HR CSV into a constraint-validated SQLite schema and operationalizing findings as reusable SQL queries, we demonstrate that organizations can generate actionable, prioritized intervention lists from existing HR data without requiring machine learning infrastructure. The 615 high-risk employees identified here represent an immediately addressable retention opportunity.</w:t>
      </w:r>
    </w:p>
    <w:p>
      <w:pPr>
        <w:spacing w:after="80"/>
        <w:ind w:firstLine="288"/>
        <w:jc w:val="both"/>
      </w:pPr>
      <w:r>
        <w:rPr>
          <w:rFonts w:ascii="Times New Roman" w:hAnsi="Times New Roman"/>
          <w:b w:val="0"/>
          <w:i w:val="0"/>
          <w:sz w:val="20"/>
        </w:rPr>
        <w:t>Future work should apply this framework to real organizational data with department-level granularity, incorporate time-series analysis to model attrition risk over tenure, and explore causal inference methods to move beyond association toward actionable causal claims about the effect of salary increases or promotion on retention probability.</w:t>
      </w:r>
    </w:p>
    <w:p>
      <w:pPr>
        <w:spacing w:before="160" w:after="80"/>
        <w:jc w:val="center"/>
      </w:pPr>
      <w:r>
        <w:rPr>
          <w:rFonts w:ascii="Times New Roman" w:hAnsi="Times New Roman"/>
          <w:b/>
          <w:i w:val="0"/>
          <w:sz w:val="20"/>
        </w:rPr>
        <w:t>ACKNOWLEDGMENT</w:t>
      </w:r>
    </w:p>
    <w:p>
      <w:pPr>
        <w:spacing w:after="80"/>
        <w:ind w:firstLine="288"/>
        <w:jc w:val="both"/>
      </w:pPr>
      <w:r>
        <w:rPr>
          <w:rFonts w:ascii="Times New Roman" w:hAnsi="Times New Roman"/>
          <w:b w:val="0"/>
          <w:i w:val="0"/>
          <w:sz w:val="20"/>
        </w:rPr>
        <w:t>The author thanks the faculty of the Department of Computer and Electrical Engineering and Computer Science at California State University, Bakersfield for guidance on this project.</w:t>
      </w:r>
    </w:p>
    <w:p>
      <w:pPr>
        <w:spacing w:before="160" w:after="80"/>
        <w:jc w:val="center"/>
      </w:pPr>
      <w:r>
        <w:rPr>
          <w:rFonts w:ascii="Times New Roman" w:hAnsi="Times New Roman"/>
          <w:b/>
          <w:i w:val="0"/>
          <w:sz w:val="20"/>
        </w:rPr>
        <w:t>REFERENCES</w:t>
      </w:r>
    </w:p>
    <w:p>
      <w:pPr>
        <w:spacing w:after="40"/>
        <w:ind w:left="360" w:hanging="360"/>
        <w:jc w:val="both"/>
      </w:pPr>
      <w:r>
        <w:rPr>
          <w:rFonts w:ascii="Times New Roman" w:hAnsi="Times New Roman"/>
          <w:b w:val="0"/>
          <w:i w:val="0"/>
          <w:sz w:val="18"/>
        </w:rPr>
        <w:t>[1] W. H. Mobley, "Intermediate linkages in the relationship between job satisfaction and employee turnover," J. Appl. Psychol., vol. 62, no. 2, pp. 237–240, 1977.</w:t>
      </w:r>
    </w:p>
    <w:p>
      <w:pPr>
        <w:spacing w:after="40"/>
        <w:ind w:left="360" w:hanging="360"/>
        <w:jc w:val="both"/>
      </w:pPr>
      <w:r>
        <w:rPr>
          <w:rFonts w:ascii="Times New Roman" w:hAnsi="Times New Roman"/>
          <w:b w:val="0"/>
          <w:i w:val="0"/>
          <w:sz w:val="18"/>
        </w:rPr>
        <w:t>[2] R. W. Griffeth, P. W. Hom, and S. Gaertner, "A meta-analysis of antecedents and correlates of employee turnover," J. Manag., vol. 26, no. 3, pp. 463–488, 2000.</w:t>
      </w:r>
    </w:p>
    <w:p>
      <w:pPr>
        <w:spacing w:after="40"/>
        <w:ind w:left="360" w:hanging="360"/>
        <w:jc w:val="both"/>
      </w:pPr>
      <w:r>
        <w:rPr>
          <w:rFonts w:ascii="Times New Roman" w:hAnsi="Times New Roman"/>
          <w:b w:val="0"/>
          <w:i w:val="0"/>
          <w:sz w:val="18"/>
        </w:rPr>
        <w:t>[3] P. W. Hom, T. W. Lee, J. D. Shaw, and J. P. Hausknecht, "One hundred years of employee turnover theory and research," J. Appl. Psychol., vol. 102, no. 3, pp. 530–545, 2017.</w:t>
      </w:r>
    </w:p>
    <w:p>
      <w:pPr>
        <w:spacing w:after="40"/>
        <w:ind w:left="360" w:hanging="360"/>
        <w:jc w:val="both"/>
      </w:pPr>
      <w:r>
        <w:rPr>
          <w:rFonts w:ascii="Times New Roman" w:hAnsi="Times New Roman"/>
          <w:b w:val="0"/>
          <w:i w:val="0"/>
          <w:sz w:val="18"/>
        </w:rPr>
        <w:t>[4] Bureau of Labor Statistics, "Job Openings and Labor Turnover Summary," U.S. Department of Labor, 2023.</w:t>
      </w:r>
    </w:p>
    <w:p>
      <w:pPr>
        <w:spacing w:after="40"/>
        <w:ind w:left="360" w:hanging="360"/>
        <w:jc w:val="both"/>
      </w:pPr>
      <w:r>
        <w:rPr>
          <w:rFonts w:ascii="Times New Roman" w:hAnsi="Times New Roman"/>
          <w:b w:val="0"/>
          <w:i w:val="0"/>
          <w:sz w:val="18"/>
        </w:rPr>
        <w:t>[5] R. Punnoose and P. Ajit, "Prediction of employee turnover in organizations using machine learning algorithms," Int. J. Adv. Res. Artif. Intell., vol. 5, no. 9, pp. 22–26, 2016.</w:t>
      </w:r>
    </w:p>
    <w:p>
      <w:pPr>
        <w:spacing w:after="40"/>
        <w:ind w:left="360" w:hanging="360"/>
        <w:jc w:val="both"/>
      </w:pPr>
      <w:r>
        <w:rPr>
          <w:rFonts w:ascii="Times New Roman" w:hAnsi="Times New Roman"/>
          <w:b w:val="0"/>
          <w:i w:val="0"/>
          <w:sz w:val="18"/>
        </w:rPr>
        <w:t>[6] Y. Zhao, M. K. Hryniewicki, F. Cheng, B. Fu, and X. Zhu, "Employee turnover prediction with machine learning: A reliable approach," in Proc. IntelliSys, 2018, pp. 737–758.</w:t>
      </w:r>
    </w:p>
    <w:p>
      <w:pPr>
        <w:spacing w:after="40"/>
        <w:ind w:left="360" w:hanging="360"/>
        <w:jc w:val="both"/>
      </w:pPr>
      <w:r>
        <w:rPr>
          <w:rFonts w:ascii="Times New Roman" w:hAnsi="Times New Roman"/>
          <w:b w:val="0"/>
          <w:i w:val="0"/>
          <w:sz w:val="18"/>
        </w:rPr>
        <w:t>[7] S. S. Alduayj and K. Rajpoot, "Predicting employee attrition using machine learning," in Proc. IIT, 2018, pp. 93–98.</w:t>
      </w:r>
    </w:p>
    <w:p>
      <w:pPr>
        <w:spacing w:after="40"/>
        <w:ind w:left="360" w:hanging="360"/>
        <w:jc w:val="both"/>
      </w:pPr>
      <w:r>
        <w:rPr>
          <w:rFonts w:ascii="Times New Roman" w:hAnsi="Times New Roman"/>
          <w:b w:val="0"/>
          <w:i w:val="0"/>
          <w:sz w:val="18"/>
        </w:rPr>
        <w:t>[8] F. Doshi-Velez and B. Kim, "Towards a rigorous science of interpretable machine learning," arXiv:1702.08608, 2017.</w:t>
      </w:r>
    </w:p>
    <w:p>
      <w:pPr>
        <w:spacing w:after="40"/>
        <w:ind w:left="360" w:hanging="360"/>
        <w:jc w:val="both"/>
      </w:pPr>
      <w:r>
        <w:rPr>
          <w:rFonts w:ascii="Times New Roman" w:hAnsi="Times New Roman"/>
          <w:b w:val="0"/>
          <w:i w:val="0"/>
          <w:sz w:val="18"/>
        </w:rPr>
        <w:t>[9] HR Analytics / Employee Retention Dataset, Kaggle. [Online]. Available: https://www.kaggle.com/</w:t>
      </w:r>
    </w:p>
    <w:p>
      <w:pPr>
        <w:spacing w:after="40"/>
        <w:ind w:left="360" w:hanging="360"/>
        <w:jc w:val="both"/>
      </w:pPr>
      <w:r>
        <w:rPr>
          <w:rFonts w:ascii="Times New Roman" w:hAnsi="Times New Roman"/>
          <w:b w:val="0"/>
          <w:i w:val="0"/>
          <w:sz w:val="18"/>
        </w:rPr>
        <w:t>[10] E. F. Codd, "A relational model of data for large shared data banks," Commun. ACM, vol. 13, no. 6, pp. 377–387, 1970.</w:t>
      </w:r>
    </w:p>
    <w:sectPr w:rsidR="00FC693F" w:rsidRPr="0006063C" w:rsidSect="00034616">
      <w:pgSz w:w="12240" w:h="15840"/>
      <w:pgMar w:top="1440" w:right="1080" w:bottom="1440" w:left="108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