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12DF" w:rsidRDefault="002312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5"/>
        <w:gridCol w:w="6210"/>
        <w:gridCol w:w="2580"/>
      </w:tblGrid>
      <w:tr w:rsidR="002312DF" w14:paraId="1F3A610C" w14:textId="77777777">
        <w:trPr>
          <w:trHeight w:val="421"/>
        </w:trPr>
        <w:tc>
          <w:tcPr>
            <w:tcW w:w="2025" w:type="dxa"/>
          </w:tcPr>
          <w:p w14:paraId="00000002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Positive Factors</w:t>
            </w:r>
          </w:p>
        </w:tc>
        <w:tc>
          <w:tcPr>
            <w:tcW w:w="6210" w:type="dxa"/>
          </w:tcPr>
          <w:p w14:paraId="00000003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Measures change in: </w:t>
            </w:r>
          </w:p>
        </w:tc>
        <w:tc>
          <w:tcPr>
            <w:tcW w:w="2580" w:type="dxa"/>
          </w:tcPr>
          <w:p w14:paraId="00000004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Primary Source</w:t>
            </w:r>
          </w:p>
        </w:tc>
      </w:tr>
      <w:tr w:rsidR="002312DF" w14:paraId="1DA9C514" w14:textId="77777777">
        <w:trPr>
          <w:trHeight w:val="3159"/>
        </w:trPr>
        <w:tc>
          <w:tcPr>
            <w:tcW w:w="2025" w:type="dxa"/>
          </w:tcPr>
          <w:p w14:paraId="00000005" w14:textId="77777777" w:rsidR="002312DF" w:rsidRDefault="00840F2B">
            <w:hyperlink r:id="rId4"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Human Development Index</w:t>
              </w:r>
            </w:hyperlink>
          </w:p>
        </w:tc>
        <w:tc>
          <w:tcPr>
            <w:tcW w:w="6210" w:type="dxa"/>
          </w:tcPr>
          <w:p w14:paraId="00000006" w14:textId="77777777" w:rsidR="002312DF" w:rsidRDefault="00840F2B">
            <w:pPr>
              <w:shd w:val="clear" w:color="auto" w:fill="FAFAFA"/>
              <w:spacing w:before="240" w:after="240"/>
              <w:rPr>
                <w:rFonts w:ascii="Arial" w:eastAsia="Arial" w:hAnsi="Arial" w:cs="Arial"/>
                <w:color w:val="2162E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D3D63"/>
                <w:sz w:val="19"/>
                <w:szCs w:val="19"/>
              </w:rPr>
              <w:t>The Human Development Index (HDI) is an index that measures key dimensions of human development. The three key dimensions are:</w:t>
            </w:r>
          </w:p>
          <w:p w14:paraId="00000007" w14:textId="77777777" w:rsidR="002312DF" w:rsidRDefault="00840F2B">
            <w:pPr>
              <w:shd w:val="clear" w:color="auto" w:fill="FAFAFA"/>
              <w:spacing w:before="240" w:after="240"/>
              <w:rPr>
                <w:rFonts w:ascii="Arial" w:eastAsia="Arial" w:hAnsi="Arial" w:cs="Arial"/>
                <w:color w:val="1D3D63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D3D63"/>
                <w:sz w:val="19"/>
                <w:szCs w:val="19"/>
              </w:rPr>
              <w:t xml:space="preserve">– </w:t>
            </w:r>
            <w:r>
              <w:rPr>
                <w:rFonts w:ascii="Arial" w:eastAsia="Arial" w:hAnsi="Arial" w:cs="Arial"/>
                <w:b/>
                <w:color w:val="1D3D63"/>
                <w:sz w:val="19"/>
                <w:szCs w:val="19"/>
              </w:rPr>
              <w:t>A long and healthy life</w:t>
            </w:r>
            <w:r>
              <w:rPr>
                <w:rFonts w:ascii="Arial" w:eastAsia="Arial" w:hAnsi="Arial" w:cs="Arial"/>
                <w:color w:val="1D3D63"/>
                <w:sz w:val="19"/>
                <w:szCs w:val="19"/>
              </w:rPr>
              <w:t xml:space="preserve"> – measured by </w:t>
            </w:r>
            <w:r>
              <w:rPr>
                <w:rFonts w:ascii="Arial" w:eastAsia="Arial" w:hAnsi="Arial" w:cs="Arial"/>
                <w:i/>
                <w:color w:val="1D3D63"/>
                <w:sz w:val="19"/>
                <w:szCs w:val="19"/>
              </w:rPr>
              <w:t>life expectancy</w:t>
            </w:r>
            <w:r>
              <w:rPr>
                <w:rFonts w:ascii="Arial" w:eastAsia="Arial" w:hAnsi="Arial" w:cs="Arial"/>
                <w:color w:val="1D3D63"/>
                <w:sz w:val="19"/>
                <w:szCs w:val="19"/>
              </w:rPr>
              <w:t>.</w:t>
            </w:r>
          </w:p>
          <w:p w14:paraId="00000008" w14:textId="77777777" w:rsidR="002312DF" w:rsidRDefault="00840F2B">
            <w:pPr>
              <w:shd w:val="clear" w:color="auto" w:fill="FAFAFA"/>
              <w:spacing w:before="240" w:after="240"/>
              <w:rPr>
                <w:rFonts w:ascii="Arial" w:eastAsia="Arial" w:hAnsi="Arial" w:cs="Arial"/>
                <w:color w:val="1D3D63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D3D63"/>
                <w:sz w:val="19"/>
                <w:szCs w:val="19"/>
              </w:rPr>
              <w:t xml:space="preserve">– </w:t>
            </w:r>
            <w:r>
              <w:rPr>
                <w:rFonts w:ascii="Arial" w:eastAsia="Arial" w:hAnsi="Arial" w:cs="Arial"/>
                <w:b/>
                <w:color w:val="1D3D63"/>
                <w:sz w:val="19"/>
                <w:szCs w:val="19"/>
              </w:rPr>
              <w:t>Access to education</w:t>
            </w:r>
            <w:r>
              <w:rPr>
                <w:rFonts w:ascii="Arial" w:eastAsia="Arial" w:hAnsi="Arial" w:cs="Arial"/>
                <w:color w:val="1D3D63"/>
                <w:sz w:val="19"/>
                <w:szCs w:val="19"/>
              </w:rPr>
              <w:t xml:space="preserve"> – measured by </w:t>
            </w:r>
            <w:r>
              <w:rPr>
                <w:rFonts w:ascii="Arial" w:eastAsia="Arial" w:hAnsi="Arial" w:cs="Arial"/>
                <w:i/>
                <w:color w:val="1D3D63"/>
                <w:sz w:val="19"/>
                <w:szCs w:val="19"/>
              </w:rPr>
              <w:t>expected years of schooling</w:t>
            </w:r>
            <w:r>
              <w:rPr>
                <w:rFonts w:ascii="Arial" w:eastAsia="Arial" w:hAnsi="Arial" w:cs="Arial"/>
                <w:color w:val="1D3D63"/>
                <w:sz w:val="19"/>
                <w:szCs w:val="19"/>
              </w:rPr>
              <w:t xml:space="preserve"> of child</w:t>
            </w:r>
            <w:r>
              <w:rPr>
                <w:rFonts w:ascii="Arial" w:eastAsia="Arial" w:hAnsi="Arial" w:cs="Arial"/>
                <w:color w:val="1D3D63"/>
                <w:sz w:val="19"/>
                <w:szCs w:val="19"/>
              </w:rPr>
              <w:t xml:space="preserve">ren at school-entry age and </w:t>
            </w:r>
            <w:r>
              <w:rPr>
                <w:rFonts w:ascii="Arial" w:eastAsia="Arial" w:hAnsi="Arial" w:cs="Arial"/>
                <w:i/>
                <w:color w:val="1D3D63"/>
                <w:sz w:val="19"/>
                <w:szCs w:val="19"/>
              </w:rPr>
              <w:t>mean years of schooling</w:t>
            </w:r>
            <w:r>
              <w:rPr>
                <w:rFonts w:ascii="Arial" w:eastAsia="Arial" w:hAnsi="Arial" w:cs="Arial"/>
                <w:color w:val="1D3D63"/>
                <w:sz w:val="19"/>
                <w:szCs w:val="19"/>
              </w:rPr>
              <w:t xml:space="preserve"> of the adult population.</w:t>
            </w:r>
          </w:p>
          <w:p w14:paraId="00000009" w14:textId="77777777" w:rsidR="002312DF" w:rsidRDefault="00840F2B">
            <w:pPr>
              <w:shd w:val="clear" w:color="auto" w:fill="FAFAFA"/>
              <w:spacing w:before="240" w:after="240"/>
              <w:rPr>
                <w:rFonts w:ascii="Arial" w:eastAsia="Arial" w:hAnsi="Arial" w:cs="Arial"/>
                <w:color w:val="1D3D63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D3D63"/>
                <w:sz w:val="19"/>
                <w:szCs w:val="19"/>
              </w:rPr>
              <w:t xml:space="preserve">– </w:t>
            </w:r>
            <w:r>
              <w:rPr>
                <w:rFonts w:ascii="Arial" w:eastAsia="Arial" w:hAnsi="Arial" w:cs="Arial"/>
                <w:b/>
                <w:color w:val="1D3D63"/>
                <w:sz w:val="19"/>
                <w:szCs w:val="19"/>
              </w:rPr>
              <w:t>And a decent standard of living</w:t>
            </w:r>
            <w:r>
              <w:rPr>
                <w:rFonts w:ascii="Arial" w:eastAsia="Arial" w:hAnsi="Arial" w:cs="Arial"/>
                <w:color w:val="1D3D63"/>
                <w:sz w:val="19"/>
                <w:szCs w:val="19"/>
              </w:rPr>
              <w:t xml:space="preserve"> – measured by </w:t>
            </w:r>
            <w:r>
              <w:rPr>
                <w:rFonts w:ascii="Arial" w:eastAsia="Arial" w:hAnsi="Arial" w:cs="Arial"/>
                <w:i/>
                <w:color w:val="1D3D63"/>
                <w:sz w:val="19"/>
                <w:szCs w:val="19"/>
              </w:rPr>
              <w:t>Gross National Income per capita</w:t>
            </w:r>
            <w:r>
              <w:rPr>
                <w:rFonts w:ascii="Arial" w:eastAsia="Arial" w:hAnsi="Arial" w:cs="Arial"/>
                <w:color w:val="1D3D63"/>
                <w:sz w:val="19"/>
                <w:szCs w:val="19"/>
              </w:rPr>
              <w:t xml:space="preserve"> adjusted for the price level of the country.</w:t>
            </w:r>
          </w:p>
        </w:tc>
        <w:tc>
          <w:tcPr>
            <w:tcW w:w="2580" w:type="dxa"/>
          </w:tcPr>
          <w:p w14:paraId="0000000A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>United Nations Development Programme (UNDP)</w:t>
            </w:r>
          </w:p>
        </w:tc>
      </w:tr>
      <w:tr w:rsidR="002312DF" w14:paraId="14FA6131" w14:textId="77777777">
        <w:tc>
          <w:tcPr>
            <w:tcW w:w="2025" w:type="dxa"/>
          </w:tcPr>
          <w:p w14:paraId="0000000B" w14:textId="77777777" w:rsidR="002312DF" w:rsidRDefault="00840F2B">
            <w:hyperlink r:id="rId5"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Happiness Report</w:t>
              </w:r>
            </w:hyperlink>
            <w:r>
              <w:rPr>
                <w:rFonts w:ascii="Arial" w:eastAsia="Arial" w:hAnsi="Arial" w:cs="Arial"/>
                <w:sz w:val="19"/>
                <w:szCs w:val="19"/>
                <w:u w:val="single"/>
              </w:rPr>
              <w:t xml:space="preserve"> </w:t>
            </w:r>
          </w:p>
        </w:tc>
        <w:tc>
          <w:tcPr>
            <w:tcW w:w="6210" w:type="dxa"/>
          </w:tcPr>
          <w:p w14:paraId="0000000C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D3D63"/>
                <w:sz w:val="19"/>
                <w:szCs w:val="19"/>
                <w:shd w:val="clear" w:color="auto" w:fill="FAFAFA"/>
              </w:rPr>
              <w:t>The main life evaluation question asked in the poll is: “Please imagine a ladder, with steps numbered from 0 at the bottom to 10 at the top.</w:t>
            </w:r>
          </w:p>
        </w:tc>
        <w:tc>
          <w:tcPr>
            <w:tcW w:w="2580" w:type="dxa"/>
          </w:tcPr>
          <w:p w14:paraId="0000000D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>World Happiness Report 2019 - Gallup World Poll surveys (life evaluation question)</w:t>
            </w:r>
          </w:p>
        </w:tc>
      </w:tr>
      <w:tr w:rsidR="002312DF" w14:paraId="646F4EDE" w14:textId="77777777">
        <w:tc>
          <w:tcPr>
            <w:tcW w:w="2025" w:type="dxa"/>
          </w:tcPr>
          <w:p w14:paraId="0000000E" w14:textId="77777777" w:rsidR="002312DF" w:rsidRDefault="00840F2B">
            <w:hyperlink r:id="rId6"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Decrease in Cancer Deaths</w:t>
              </w:r>
            </w:hyperlink>
          </w:p>
        </w:tc>
        <w:tc>
          <w:tcPr>
            <w:tcW w:w="6210" w:type="dxa"/>
          </w:tcPr>
          <w:p w14:paraId="0000000F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The number of deaths by Cancer.</w:t>
            </w:r>
          </w:p>
        </w:tc>
        <w:tc>
          <w:tcPr>
            <w:tcW w:w="2580" w:type="dxa"/>
          </w:tcPr>
          <w:p w14:paraId="00000010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 xml:space="preserve"> Global Burden of Disease Study 2017 (GBD 2017) Results.</w:t>
            </w:r>
          </w:p>
        </w:tc>
      </w:tr>
      <w:tr w:rsidR="002312DF" w14:paraId="1D319216" w14:textId="77777777">
        <w:tc>
          <w:tcPr>
            <w:tcW w:w="2025" w:type="dxa"/>
          </w:tcPr>
          <w:p w14:paraId="00000011" w14:textId="77777777" w:rsidR="002312DF" w:rsidRDefault="00840F2B">
            <w:hyperlink r:id="rId7"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Decrease in Cancer Incidenc</w:t>
              </w:r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e</w:t>
              </w:r>
            </w:hyperlink>
          </w:p>
        </w:tc>
        <w:tc>
          <w:tcPr>
            <w:tcW w:w="6210" w:type="dxa"/>
          </w:tcPr>
          <w:p w14:paraId="00000012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The number of incidences of Cancer.</w:t>
            </w:r>
          </w:p>
        </w:tc>
        <w:tc>
          <w:tcPr>
            <w:tcW w:w="2580" w:type="dxa"/>
          </w:tcPr>
          <w:p w14:paraId="00000013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>Global Burden of Disease Study 2017 (GBD 2017) Results</w:t>
            </w:r>
          </w:p>
        </w:tc>
      </w:tr>
      <w:tr w:rsidR="002312DF" w14:paraId="11BE1E00" w14:textId="77777777">
        <w:tc>
          <w:tcPr>
            <w:tcW w:w="2025" w:type="dxa"/>
          </w:tcPr>
          <w:p w14:paraId="00000014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hyperlink r:id="rId8"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Decrease in Autism</w:t>
              </w:r>
            </w:hyperlink>
          </w:p>
        </w:tc>
        <w:tc>
          <w:tcPr>
            <w:tcW w:w="6210" w:type="dxa"/>
          </w:tcPr>
          <w:p w14:paraId="00000015" w14:textId="5CBC70B6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>Disability-Adjusted Life Years (DALYs) per 100,000 individuals from all causes.</w:t>
            </w:r>
            <w:r>
              <w:rPr>
                <w:rFonts w:ascii="Arial" w:eastAsia="Arial" w:hAnsi="Arial" w:cs="Arial"/>
                <w:sz w:val="19"/>
                <w:szCs w:val="19"/>
              </w:rPr>
              <w:br/>
            </w: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>DALYs measure the total burden of disease – both from years of life lost due to premature death and years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>lived with a disability.</w:t>
            </w:r>
          </w:p>
        </w:tc>
        <w:tc>
          <w:tcPr>
            <w:tcW w:w="2580" w:type="dxa"/>
          </w:tcPr>
          <w:p w14:paraId="00000016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 xml:space="preserve"> Global Burden of Disease Study 2017 (GBD 201</w:t>
            </w: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>7) Results</w:t>
            </w:r>
          </w:p>
        </w:tc>
      </w:tr>
      <w:tr w:rsidR="002312DF" w14:paraId="4591AED5" w14:textId="77777777">
        <w:trPr>
          <w:trHeight w:val="481"/>
        </w:trPr>
        <w:tc>
          <w:tcPr>
            <w:tcW w:w="2025" w:type="dxa"/>
          </w:tcPr>
          <w:p w14:paraId="00000017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hyperlink r:id="rId9"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Life Expectancy</w:t>
              </w:r>
            </w:hyperlink>
          </w:p>
          <w:p w14:paraId="00000018" w14:textId="77777777" w:rsidR="002312DF" w:rsidRDefault="002312DF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6210" w:type="dxa"/>
          </w:tcPr>
          <w:p w14:paraId="00000019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The average number of years that a newborn could expect to live if he or she were to pass through life subject to the age-specific mortality rates of a given period.</w:t>
            </w:r>
          </w:p>
        </w:tc>
        <w:tc>
          <w:tcPr>
            <w:tcW w:w="2580" w:type="dxa"/>
          </w:tcPr>
          <w:p w14:paraId="0000001A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>World Bank – World Development Indicators</w:t>
            </w:r>
          </w:p>
        </w:tc>
      </w:tr>
      <w:tr w:rsidR="002312DF" w14:paraId="00ECEA23" w14:textId="77777777">
        <w:tc>
          <w:tcPr>
            <w:tcW w:w="2025" w:type="dxa"/>
          </w:tcPr>
          <w:p w14:paraId="0000001B" w14:textId="77777777" w:rsidR="002312DF" w:rsidRDefault="00840F2B">
            <w:hyperlink r:id="rId10"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Decrease in Air Pollution</w:t>
              </w:r>
            </w:hyperlink>
          </w:p>
        </w:tc>
        <w:tc>
          <w:tcPr>
            <w:tcW w:w="6210" w:type="dxa"/>
          </w:tcPr>
          <w:p w14:paraId="0000001C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>Age-standardized death rates from outdoor ozone, particulates, and indoor fuel pollution per</w:t>
            </w: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100,000</w:t>
            </w:r>
            <w:r>
              <w:rPr>
                <w:rFonts w:ascii="Arial" w:eastAsia="Arial" w:hAnsi="Arial" w:cs="Arial"/>
                <w:sz w:val="19"/>
                <w:szCs w:val="19"/>
              </w:rPr>
              <w:br/>
            </w: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>individuals.</w:t>
            </w:r>
          </w:p>
        </w:tc>
        <w:tc>
          <w:tcPr>
            <w:tcW w:w="2580" w:type="dxa"/>
          </w:tcPr>
          <w:p w14:paraId="0000001D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>Global Burden of Disease Study 2017 (GBD 2017) Results</w:t>
            </w:r>
          </w:p>
        </w:tc>
      </w:tr>
      <w:tr w:rsidR="002312DF" w14:paraId="1BDF0281" w14:textId="77777777">
        <w:tc>
          <w:tcPr>
            <w:tcW w:w="2025" w:type="dxa"/>
          </w:tcPr>
          <w:p w14:paraId="0000001E" w14:textId="77777777" w:rsidR="002312DF" w:rsidRDefault="00840F2B">
            <w:hyperlink r:id="rId11"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Decrease in Vaccine Preventable Deaths</w:t>
              </w:r>
            </w:hyperlink>
          </w:p>
        </w:tc>
        <w:tc>
          <w:tcPr>
            <w:tcW w:w="6210" w:type="dxa"/>
          </w:tcPr>
          <w:p w14:paraId="0000001F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Deaths caused by diseases with available vaccines.</w:t>
            </w:r>
          </w:p>
        </w:tc>
        <w:tc>
          <w:tcPr>
            <w:tcW w:w="2580" w:type="dxa"/>
          </w:tcPr>
          <w:p w14:paraId="00000020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>Global Burden of Disease Study 2017 (GBD 2017) Results</w:t>
            </w:r>
          </w:p>
        </w:tc>
      </w:tr>
      <w:tr w:rsidR="002312DF" w14:paraId="556FD4C6" w14:textId="77777777">
        <w:tc>
          <w:tcPr>
            <w:tcW w:w="2025" w:type="dxa"/>
          </w:tcPr>
          <w:p w14:paraId="00000021" w14:textId="77777777" w:rsidR="002312DF" w:rsidRDefault="00840F2B">
            <w:hyperlink r:id="rId12"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Decrease in Deaths Caused by Unclean Water</w:t>
              </w:r>
            </w:hyperlink>
          </w:p>
        </w:tc>
        <w:tc>
          <w:tcPr>
            <w:tcW w:w="6210" w:type="dxa"/>
          </w:tcPr>
          <w:p w14:paraId="00000022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>Number of premature deaths caused by unsafe drinking water.</w:t>
            </w:r>
          </w:p>
        </w:tc>
        <w:tc>
          <w:tcPr>
            <w:tcW w:w="2580" w:type="dxa"/>
          </w:tcPr>
          <w:p w14:paraId="00000023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 xml:space="preserve"> Global Burden of Disease Study 2017 (GBD 2017) Results</w:t>
            </w:r>
          </w:p>
        </w:tc>
      </w:tr>
      <w:tr w:rsidR="002312DF" w14:paraId="3E4280F7" w14:textId="77777777">
        <w:trPr>
          <w:trHeight w:val="630"/>
        </w:trPr>
        <w:tc>
          <w:tcPr>
            <w:tcW w:w="2025" w:type="dxa"/>
          </w:tcPr>
          <w:p w14:paraId="00000024" w14:textId="77777777" w:rsidR="002312DF" w:rsidRDefault="00840F2B">
            <w:hyperlink r:id="rId13"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Decrease in Death Caused by Unsanitary Conditions</w:t>
              </w:r>
            </w:hyperlink>
          </w:p>
        </w:tc>
        <w:tc>
          <w:tcPr>
            <w:tcW w:w="6210" w:type="dxa"/>
          </w:tcPr>
          <w:p w14:paraId="00000025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>Number of premature deaths caused by unsanitary conditions.</w:t>
            </w:r>
          </w:p>
        </w:tc>
        <w:tc>
          <w:tcPr>
            <w:tcW w:w="2580" w:type="dxa"/>
          </w:tcPr>
          <w:p w14:paraId="00000026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>Global Burden of Disease Study 2017 (GBD 2017) Results.</w:t>
            </w:r>
          </w:p>
        </w:tc>
      </w:tr>
      <w:tr w:rsidR="002312DF" w14:paraId="185A5B66" w14:textId="77777777">
        <w:tc>
          <w:tcPr>
            <w:tcW w:w="2025" w:type="dxa"/>
          </w:tcPr>
          <w:p w14:paraId="00000027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hyperlink r:id="rId14"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Decrease in Suicide</w:t>
              </w:r>
            </w:hyperlink>
          </w:p>
        </w:tc>
        <w:tc>
          <w:tcPr>
            <w:tcW w:w="6210" w:type="dxa"/>
          </w:tcPr>
          <w:p w14:paraId="00000028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>The annual number of deaths from suicide per 100,000 people.</w:t>
            </w:r>
          </w:p>
        </w:tc>
        <w:tc>
          <w:tcPr>
            <w:tcW w:w="2580" w:type="dxa"/>
          </w:tcPr>
          <w:p w14:paraId="00000029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>Global Burden of Disease Study 2017 (GBD 2017)</w:t>
            </w:r>
          </w:p>
        </w:tc>
      </w:tr>
      <w:tr w:rsidR="002312DF" w14:paraId="5D711F76" w14:textId="77777777">
        <w:tc>
          <w:tcPr>
            <w:tcW w:w="2025" w:type="dxa"/>
          </w:tcPr>
          <w:p w14:paraId="0000002A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hyperlink r:id="rId15"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Decrease in HIV deaths</w:t>
              </w:r>
            </w:hyperlink>
          </w:p>
        </w:tc>
        <w:tc>
          <w:tcPr>
            <w:tcW w:w="6210" w:type="dxa"/>
          </w:tcPr>
          <w:p w14:paraId="0000002B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>The number of deaths from HIV/AIDS per 100,000 people.</w:t>
            </w:r>
          </w:p>
        </w:tc>
        <w:tc>
          <w:tcPr>
            <w:tcW w:w="2580" w:type="dxa"/>
          </w:tcPr>
          <w:p w14:paraId="0000002C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>World Health Organization (2018) and Tebbens et al. (2010)</w:t>
            </w:r>
          </w:p>
        </w:tc>
      </w:tr>
      <w:tr w:rsidR="002312DF" w14:paraId="57D0CFAD" w14:textId="77777777">
        <w:trPr>
          <w:trHeight w:val="750"/>
        </w:trPr>
        <w:tc>
          <w:tcPr>
            <w:tcW w:w="2025" w:type="dxa"/>
          </w:tcPr>
          <w:p w14:paraId="0000002D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hyperlink r:id="rId16"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Decreases in Tuberculosis</w:t>
              </w:r>
            </w:hyperlink>
          </w:p>
        </w:tc>
        <w:tc>
          <w:tcPr>
            <w:tcW w:w="6210" w:type="dxa"/>
          </w:tcPr>
          <w:p w14:paraId="0000002E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>The number of deaths from Tuberculosis per 100,000 people.</w:t>
            </w:r>
          </w:p>
        </w:tc>
        <w:tc>
          <w:tcPr>
            <w:tcW w:w="2580" w:type="dxa"/>
          </w:tcPr>
          <w:p w14:paraId="0000002F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>World Health Organization (2018) and Tebbens et al. (2010)</w:t>
            </w:r>
          </w:p>
        </w:tc>
      </w:tr>
      <w:tr w:rsidR="002312DF" w14:paraId="00BC0993" w14:textId="77777777">
        <w:trPr>
          <w:trHeight w:val="792"/>
        </w:trPr>
        <w:tc>
          <w:tcPr>
            <w:tcW w:w="2025" w:type="dxa"/>
          </w:tcPr>
          <w:p w14:paraId="00000030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hyperlink r:id="rId17"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GDP</w:t>
              </w:r>
            </w:hyperlink>
          </w:p>
        </w:tc>
        <w:tc>
          <w:tcPr>
            <w:tcW w:w="6210" w:type="dxa"/>
          </w:tcPr>
          <w:p w14:paraId="00000032" w14:textId="5A975E00" w:rsidR="002312DF" w:rsidRPr="00840F2B" w:rsidRDefault="00840F2B">
            <w:pPr>
              <w:rPr>
                <w:rFonts w:ascii="Arial" w:eastAsia="Arial" w:hAnsi="Arial" w:cs="Arial"/>
                <w:color w:val="666666"/>
                <w:sz w:val="19"/>
                <w:szCs w:val="19"/>
                <w:highlight w:val="white"/>
              </w:rPr>
            </w:pPr>
            <w:r>
              <w:rPr>
                <w:rFonts w:ascii="Arial" w:eastAsia="Arial" w:hAnsi="Arial" w:cs="Arial"/>
                <w:color w:val="666666"/>
                <w:sz w:val="19"/>
                <w:szCs w:val="19"/>
                <w:highlight w:val="white"/>
              </w:rPr>
              <w:t xml:space="preserve">GDP per capita adjusted for price changes over time (inflation) and price differences between countries – it is </w:t>
            </w:r>
            <w:r>
              <w:rPr>
                <w:rFonts w:ascii="Arial" w:eastAsia="Arial" w:hAnsi="Arial" w:cs="Arial"/>
                <w:color w:val="666666"/>
                <w:sz w:val="19"/>
                <w:szCs w:val="19"/>
                <w:highlight w:val="white"/>
              </w:rPr>
              <w:t>measured in international-$ in 2011 prices.</w:t>
            </w:r>
          </w:p>
        </w:tc>
        <w:tc>
          <w:tcPr>
            <w:tcW w:w="2580" w:type="dxa"/>
          </w:tcPr>
          <w:p w14:paraId="00000033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https://www.rug.nl/ggdc/historicaldevelopment/maddison/releases/maddison-project-database-2020</w:t>
            </w:r>
          </w:p>
        </w:tc>
      </w:tr>
      <w:tr w:rsidR="002312DF" w14:paraId="48C80B31" w14:textId="77777777">
        <w:trPr>
          <w:trHeight w:val="203"/>
        </w:trPr>
        <w:tc>
          <w:tcPr>
            <w:tcW w:w="2025" w:type="dxa"/>
          </w:tcPr>
          <w:p w14:paraId="00000034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hyperlink r:id="rId18"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Decrease in CO2 Emissions</w:t>
              </w:r>
            </w:hyperlink>
          </w:p>
        </w:tc>
        <w:tc>
          <w:tcPr>
            <w:tcW w:w="6210" w:type="dxa"/>
          </w:tcPr>
          <w:p w14:paraId="00000035" w14:textId="77777777" w:rsidR="002312DF" w:rsidRDefault="00840F2B">
            <w:pPr>
              <w:rPr>
                <w:rFonts w:ascii="Arial" w:eastAsia="Arial" w:hAnsi="Arial" w:cs="Arial"/>
                <w:color w:val="666666"/>
                <w:sz w:val="19"/>
                <w:szCs w:val="19"/>
                <w:highlight w:val="white"/>
              </w:rPr>
            </w:pPr>
            <w:r>
              <w:rPr>
                <w:rFonts w:ascii="Arial" w:eastAsia="Arial" w:hAnsi="Arial" w:cs="Arial"/>
                <w:color w:val="666666"/>
                <w:sz w:val="19"/>
                <w:szCs w:val="19"/>
                <w:highlight w:val="white"/>
              </w:rPr>
              <w:t>Carbon dioxide (CO₂) emissions from the burning of fossil fuels for energy and cement production. Land use</w:t>
            </w:r>
          </w:p>
          <w:p w14:paraId="00000036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r>
              <w:rPr>
                <w:rFonts w:ascii="Arial" w:eastAsia="Arial" w:hAnsi="Arial" w:cs="Arial"/>
                <w:color w:val="666666"/>
                <w:sz w:val="19"/>
                <w:szCs w:val="19"/>
                <w:highlight w:val="white"/>
              </w:rPr>
              <w:t>change is not included.</w:t>
            </w:r>
          </w:p>
        </w:tc>
        <w:tc>
          <w:tcPr>
            <w:tcW w:w="2580" w:type="dxa"/>
          </w:tcPr>
          <w:p w14:paraId="00000037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>Global Carbon Budget 2020 (Version 1.0)</w:t>
            </w:r>
          </w:p>
        </w:tc>
      </w:tr>
      <w:tr w:rsidR="002312DF" w14:paraId="3D6238E2" w14:textId="77777777">
        <w:tc>
          <w:tcPr>
            <w:tcW w:w="2025" w:type="dxa"/>
          </w:tcPr>
          <w:p w14:paraId="00000038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hyperlink r:id="rId19"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Decrease in Child Mort</w:t>
              </w:r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ality</w:t>
              </w:r>
            </w:hyperlink>
          </w:p>
        </w:tc>
        <w:tc>
          <w:tcPr>
            <w:tcW w:w="6210" w:type="dxa"/>
          </w:tcPr>
          <w:p w14:paraId="00000039" w14:textId="77777777" w:rsidR="002312DF" w:rsidRDefault="00840F2B">
            <w:pPr>
              <w:spacing w:line="288" w:lineRule="auto"/>
              <w:rPr>
                <w:rFonts w:ascii="Arial" w:eastAsia="Arial" w:hAnsi="Arial" w:cs="Arial"/>
                <w:color w:val="0073E6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666666"/>
                <w:sz w:val="19"/>
                <w:szCs w:val="19"/>
                <w:highlight w:val="white"/>
              </w:rPr>
              <w:t>Share of children, born alive, dying before they are five years old.</w:t>
            </w:r>
          </w:p>
          <w:p w14:paraId="0000003A" w14:textId="77777777" w:rsidR="002312DF" w:rsidRDefault="002312DF">
            <w:pPr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</w:p>
        </w:tc>
        <w:tc>
          <w:tcPr>
            <w:tcW w:w="2580" w:type="dxa"/>
          </w:tcPr>
          <w:p w14:paraId="0000003B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>United Nations, Department of Economic and Social Affairs, Population Division (2019). World Population Prospects: The 2019 Revision, DVD Edition.</w:t>
            </w:r>
          </w:p>
        </w:tc>
      </w:tr>
      <w:tr w:rsidR="002312DF" w14:paraId="7C2D127C" w14:textId="77777777">
        <w:tc>
          <w:tcPr>
            <w:tcW w:w="2025" w:type="dxa"/>
          </w:tcPr>
          <w:p w14:paraId="0000003C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hyperlink r:id="rId20">
              <w:r>
                <w:rPr>
                  <w:rFonts w:ascii="Arial" w:eastAsia="Arial" w:hAnsi="Arial" w:cs="Arial"/>
                  <w:color w:val="1155CC"/>
                  <w:sz w:val="19"/>
                  <w:szCs w:val="19"/>
                  <w:u w:val="single"/>
                </w:rPr>
                <w:t>Decrease in Malnutrition</w:t>
              </w:r>
            </w:hyperlink>
          </w:p>
        </w:tc>
        <w:tc>
          <w:tcPr>
            <w:tcW w:w="6210" w:type="dxa"/>
          </w:tcPr>
          <w:p w14:paraId="00000040" w14:textId="66C7E7EF" w:rsidR="002312DF" w:rsidRDefault="00840F2B">
            <w:pPr>
              <w:rPr>
                <w:rFonts w:ascii="Arial" w:eastAsia="Arial" w:hAnsi="Arial" w:cs="Arial"/>
                <w:color w:val="666666"/>
                <w:sz w:val="19"/>
                <w:szCs w:val="19"/>
                <w:highlight w:val="white"/>
              </w:rPr>
            </w:pPr>
            <w:r>
              <w:rPr>
                <w:rFonts w:ascii="Arial" w:eastAsia="Arial" w:hAnsi="Arial" w:cs="Arial"/>
                <w:color w:val="666666"/>
                <w:sz w:val="19"/>
                <w:szCs w:val="19"/>
                <w:highlight w:val="white"/>
              </w:rPr>
              <w:t xml:space="preserve">Death rates from protein-energy malnutrition measured per 100,000 individuals across various age </w:t>
            </w:r>
            <w:r>
              <w:rPr>
                <w:rFonts w:ascii="Arial" w:eastAsia="Arial" w:hAnsi="Arial" w:cs="Arial"/>
                <w:color w:val="666666"/>
                <w:sz w:val="19"/>
                <w:szCs w:val="19"/>
                <w:highlight w:val="white"/>
              </w:rPr>
              <w:t>categories. Also shown is the total death rate acr</w:t>
            </w:r>
            <w:r>
              <w:rPr>
                <w:rFonts w:ascii="Arial" w:eastAsia="Arial" w:hAnsi="Arial" w:cs="Arial"/>
                <w:color w:val="666666"/>
                <w:sz w:val="19"/>
                <w:szCs w:val="19"/>
                <w:highlight w:val="white"/>
              </w:rPr>
              <w:t xml:space="preserve">oss all ages (not age-standardized) and the </w:t>
            </w:r>
            <w:r>
              <w:rPr>
                <w:rFonts w:ascii="Arial" w:eastAsia="Arial" w:hAnsi="Arial" w:cs="Arial"/>
                <w:color w:val="666666"/>
                <w:sz w:val="19"/>
                <w:szCs w:val="19"/>
                <w:highlight w:val="white"/>
                <w:u w:val="single"/>
              </w:rPr>
              <w:t>age-standardized death rate</w:t>
            </w:r>
            <w:r>
              <w:rPr>
                <w:rFonts w:ascii="Arial" w:eastAsia="Arial" w:hAnsi="Arial" w:cs="Arial"/>
                <w:color w:val="666666"/>
                <w:sz w:val="19"/>
                <w:szCs w:val="19"/>
                <w:highlight w:val="white"/>
              </w:rPr>
              <w:t xml:space="preserve">. Age-standardization assumes a constant population age &amp; structure to allow for </w:t>
            </w:r>
            <w:r>
              <w:rPr>
                <w:rFonts w:ascii="Arial" w:eastAsia="Arial" w:hAnsi="Arial" w:cs="Arial"/>
                <w:color w:val="666666"/>
                <w:sz w:val="19"/>
                <w:szCs w:val="19"/>
                <w:highlight w:val="white"/>
              </w:rPr>
              <w:t>comparisons between countries and with time without the effects of a changing age distribution within a</w:t>
            </w:r>
          </w:p>
          <w:p w14:paraId="00000041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r>
              <w:rPr>
                <w:rFonts w:ascii="Arial" w:eastAsia="Arial" w:hAnsi="Arial" w:cs="Arial"/>
                <w:color w:val="666666"/>
                <w:sz w:val="19"/>
                <w:szCs w:val="19"/>
                <w:highlight w:val="white"/>
              </w:rPr>
              <w:t>population (e.g. aging).</w:t>
            </w:r>
          </w:p>
        </w:tc>
        <w:tc>
          <w:tcPr>
            <w:tcW w:w="2580" w:type="dxa"/>
          </w:tcPr>
          <w:p w14:paraId="00000042" w14:textId="77777777" w:rsidR="002312DF" w:rsidRDefault="00840F2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>Global Burden of Disease Study 2017 (GBD 2017)</w:t>
            </w:r>
          </w:p>
        </w:tc>
      </w:tr>
    </w:tbl>
    <w:p w14:paraId="00000046" w14:textId="77777777" w:rsidR="002312DF" w:rsidRDefault="002312DF"/>
    <w:p w14:paraId="0000004C" w14:textId="2CE984E7" w:rsidR="002312DF" w:rsidRDefault="002312DF"/>
    <w:sectPr w:rsidR="002312D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2DF"/>
    <w:rsid w:val="002312DF"/>
    <w:rsid w:val="0084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8C0F"/>
  <w15:docId w15:val="{8EC4F184-9D5C-4B82-98FE-C3BA70A5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burden-of-disease" TargetMode="External"/><Relationship Id="rId13" Type="http://schemas.openxmlformats.org/officeDocument/2006/relationships/hyperlink" Target="https://ourworldindata.org/grapher/number-of-deaths-by-risk-factor" TargetMode="External"/><Relationship Id="rId18" Type="http://schemas.openxmlformats.org/officeDocument/2006/relationships/hyperlink" Target="https://ourworldindata.org/co2-emission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ourworldindata.org/grapher/cancer-incidence" TargetMode="External"/><Relationship Id="rId12" Type="http://schemas.openxmlformats.org/officeDocument/2006/relationships/hyperlink" Target="https://ourworldindata.org/grapher/number-of-deaths-by-risk-factor" TargetMode="External"/><Relationship Id="rId17" Type="http://schemas.openxmlformats.org/officeDocument/2006/relationships/hyperlink" Target="https://ourworldindata.org/economic-growt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urworldindata.org/grapher/the-number-of-cases-of-infectious-diseases?country=~USA" TargetMode="External"/><Relationship Id="rId20" Type="http://schemas.openxmlformats.org/officeDocument/2006/relationships/hyperlink" Target="https://ourworldindata.org/grapher/malnutrition-death-rates-by-age" TargetMode="External"/><Relationship Id="rId1" Type="http://schemas.openxmlformats.org/officeDocument/2006/relationships/styles" Target="styles.xml"/><Relationship Id="rId6" Type="http://schemas.openxmlformats.org/officeDocument/2006/relationships/hyperlink" Target="https://ourworldindata.org/grapher/cancer-death-rates" TargetMode="External"/><Relationship Id="rId11" Type="http://schemas.openxmlformats.org/officeDocument/2006/relationships/hyperlink" Target="https://ourworldindata.org/grapher/Deaths-caused-by-vaccine-preventable-diseases-over-time" TargetMode="External"/><Relationship Id="rId5" Type="http://schemas.openxmlformats.org/officeDocument/2006/relationships/hyperlink" Target="https://ourworldindata.org/happiness-and-life-satisfaction" TargetMode="External"/><Relationship Id="rId15" Type="http://schemas.openxmlformats.org/officeDocument/2006/relationships/hyperlink" Target="https://ourworldindata.org/grapher/the-number-of-cases-of-infectious-diseases?country=~USA" TargetMode="External"/><Relationship Id="rId10" Type="http://schemas.openxmlformats.org/officeDocument/2006/relationships/hyperlink" Target="https://ourworldindata.org/grapher/death-rate-by-source-from-air-pollution" TargetMode="External"/><Relationship Id="rId19" Type="http://schemas.openxmlformats.org/officeDocument/2006/relationships/hyperlink" Target="https://ourworldindata.org/child-mortality" TargetMode="External"/><Relationship Id="rId4" Type="http://schemas.openxmlformats.org/officeDocument/2006/relationships/hyperlink" Target="https://ourworldindata.org/human-development-index" TargetMode="External"/><Relationship Id="rId9" Type="http://schemas.openxmlformats.org/officeDocument/2006/relationships/hyperlink" Target="https://ourworldindata.org/life-expectancy" TargetMode="External"/><Relationship Id="rId14" Type="http://schemas.openxmlformats.org/officeDocument/2006/relationships/hyperlink" Target="https://ourworldindata.org/suici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Brenda Gutman</cp:lastModifiedBy>
  <cp:revision>2</cp:revision>
  <dcterms:created xsi:type="dcterms:W3CDTF">2021-06-21T23:37:00Z</dcterms:created>
  <dcterms:modified xsi:type="dcterms:W3CDTF">2021-06-21T23:38:00Z</dcterms:modified>
</cp:coreProperties>
</file>