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6210"/>
        <w:gridCol w:w="2580"/>
        <w:tblGridChange w:id="0">
          <w:tblGrid>
            <w:gridCol w:w="2025"/>
            <w:gridCol w:w="6210"/>
            <w:gridCol w:w="2580"/>
          </w:tblGrid>
        </w:tblGridChange>
      </w:tblGrid>
      <w:tr>
        <w:trPr>
          <w:trHeight w:val="421.962890625" w:hRule="atLeast"/>
        </w:trPr>
        <w:tc>
          <w:tcPr/>
          <w:p w:rsidR="00000000" w:rsidDel="00000000" w:rsidP="00000000" w:rsidRDefault="00000000" w:rsidRPr="00000000" w14:paraId="00000002">
            <w:pPr>
              <w:rPr>
                <w:rFonts w:ascii="Arial" w:cs="Arial" w:eastAsia="Arial" w:hAnsi="Arial"/>
                <w:sz w:val="19"/>
                <w:szCs w:val="19"/>
              </w:rPr>
            </w:pPr>
            <w:r w:rsidDel="00000000" w:rsidR="00000000" w:rsidRPr="00000000">
              <w:rPr>
                <w:rFonts w:ascii="Arial" w:cs="Arial" w:eastAsia="Arial" w:hAnsi="Arial"/>
                <w:sz w:val="19"/>
                <w:szCs w:val="19"/>
                <w:rtl w:val="0"/>
              </w:rPr>
              <w:t xml:space="preserve">Positive Factors</w:t>
            </w:r>
          </w:p>
        </w:tc>
        <w:tc>
          <w:tcPr/>
          <w:p w:rsidR="00000000" w:rsidDel="00000000" w:rsidP="00000000" w:rsidRDefault="00000000" w:rsidRPr="00000000" w14:paraId="00000003">
            <w:pPr>
              <w:rPr>
                <w:rFonts w:ascii="Arial" w:cs="Arial" w:eastAsia="Arial" w:hAnsi="Arial"/>
                <w:sz w:val="19"/>
                <w:szCs w:val="19"/>
              </w:rPr>
            </w:pPr>
            <w:r w:rsidDel="00000000" w:rsidR="00000000" w:rsidRPr="00000000">
              <w:rPr>
                <w:rFonts w:ascii="Arial" w:cs="Arial" w:eastAsia="Arial" w:hAnsi="Arial"/>
                <w:sz w:val="19"/>
                <w:szCs w:val="19"/>
                <w:rtl w:val="0"/>
              </w:rPr>
              <w:t xml:space="preserve">Measures change in: </w:t>
            </w:r>
          </w:p>
        </w:tc>
        <w:tc>
          <w:tcPr/>
          <w:p w:rsidR="00000000" w:rsidDel="00000000" w:rsidP="00000000" w:rsidRDefault="00000000" w:rsidRPr="00000000" w14:paraId="00000004">
            <w:pPr>
              <w:rPr>
                <w:rFonts w:ascii="Arial" w:cs="Arial" w:eastAsia="Arial" w:hAnsi="Arial"/>
                <w:sz w:val="19"/>
                <w:szCs w:val="19"/>
              </w:rPr>
            </w:pPr>
            <w:r w:rsidDel="00000000" w:rsidR="00000000" w:rsidRPr="00000000">
              <w:rPr>
                <w:rFonts w:ascii="Arial" w:cs="Arial" w:eastAsia="Arial" w:hAnsi="Arial"/>
                <w:sz w:val="19"/>
                <w:szCs w:val="19"/>
                <w:rtl w:val="0"/>
              </w:rPr>
              <w:t xml:space="preserve">Primary Source</w:t>
            </w:r>
          </w:p>
        </w:tc>
      </w:tr>
      <w:tr>
        <w:trPr>
          <w:trHeight w:val="3159.814453125" w:hRule="atLeast"/>
        </w:trPr>
        <w:tc>
          <w:tcPr/>
          <w:p w:rsidR="00000000" w:rsidDel="00000000" w:rsidP="00000000" w:rsidRDefault="00000000" w:rsidRPr="00000000" w14:paraId="00000005">
            <w:pPr>
              <w:rPr/>
            </w:pPr>
            <w:hyperlink r:id="rId6">
              <w:r w:rsidDel="00000000" w:rsidR="00000000" w:rsidRPr="00000000">
                <w:rPr>
                  <w:rFonts w:ascii="Arial" w:cs="Arial" w:eastAsia="Arial" w:hAnsi="Arial"/>
                  <w:color w:val="1155cc"/>
                  <w:sz w:val="19"/>
                  <w:szCs w:val="19"/>
                  <w:u w:val="single"/>
                  <w:rtl w:val="0"/>
                </w:rPr>
                <w:t xml:space="preserve">Human Development Index</w:t>
              </w:r>
            </w:hyperlink>
            <w:r w:rsidDel="00000000" w:rsidR="00000000" w:rsidRPr="00000000">
              <w:rPr>
                <w:rtl w:val="0"/>
              </w:rPr>
            </w:r>
          </w:p>
        </w:tc>
        <w:tc>
          <w:tcPr/>
          <w:p w:rsidR="00000000" w:rsidDel="00000000" w:rsidP="00000000" w:rsidRDefault="00000000" w:rsidRPr="00000000" w14:paraId="00000006">
            <w:pPr>
              <w:shd w:fill="fafafa" w:val="clear"/>
              <w:spacing w:after="240" w:before="240" w:lineRule="auto"/>
              <w:rPr>
                <w:rFonts w:ascii="Arial" w:cs="Arial" w:eastAsia="Arial" w:hAnsi="Arial"/>
                <w:color w:val="2162e6"/>
                <w:sz w:val="18"/>
                <w:szCs w:val="18"/>
              </w:rPr>
            </w:pPr>
            <w:r w:rsidDel="00000000" w:rsidR="00000000" w:rsidRPr="00000000">
              <w:rPr>
                <w:rFonts w:ascii="Arial" w:cs="Arial" w:eastAsia="Arial" w:hAnsi="Arial"/>
                <w:color w:val="1d3d63"/>
                <w:sz w:val="19"/>
                <w:szCs w:val="19"/>
                <w:rtl w:val="0"/>
              </w:rPr>
              <w:t xml:space="preserve">The Human Development Index (HDI) is an index that measures key dimensions of human development. The three key dimensions are:</w:t>
            </w:r>
            <w:r w:rsidDel="00000000" w:rsidR="00000000" w:rsidRPr="00000000">
              <w:rPr>
                <w:rtl w:val="0"/>
              </w:rPr>
            </w:r>
          </w:p>
          <w:p w:rsidR="00000000" w:rsidDel="00000000" w:rsidP="00000000" w:rsidRDefault="00000000" w:rsidRPr="00000000" w14:paraId="00000007">
            <w:pPr>
              <w:shd w:fill="fafafa" w:val="clear"/>
              <w:spacing w:after="240" w:before="240" w:lineRule="auto"/>
              <w:rPr>
                <w:rFonts w:ascii="Arial" w:cs="Arial" w:eastAsia="Arial" w:hAnsi="Arial"/>
                <w:color w:val="1d3d63"/>
                <w:sz w:val="19"/>
                <w:szCs w:val="19"/>
              </w:rPr>
            </w:pPr>
            <w:r w:rsidDel="00000000" w:rsidR="00000000" w:rsidRPr="00000000">
              <w:rPr>
                <w:rFonts w:ascii="Arial" w:cs="Arial" w:eastAsia="Arial" w:hAnsi="Arial"/>
                <w:color w:val="1d3d63"/>
                <w:sz w:val="19"/>
                <w:szCs w:val="19"/>
                <w:rtl w:val="0"/>
              </w:rPr>
              <w:t xml:space="preserve">– </w:t>
            </w:r>
            <w:r w:rsidDel="00000000" w:rsidR="00000000" w:rsidRPr="00000000">
              <w:rPr>
                <w:rFonts w:ascii="Arial" w:cs="Arial" w:eastAsia="Arial" w:hAnsi="Arial"/>
                <w:b w:val="1"/>
                <w:color w:val="1d3d63"/>
                <w:sz w:val="19"/>
                <w:szCs w:val="19"/>
                <w:rtl w:val="0"/>
              </w:rPr>
              <w:t xml:space="preserve">A long and healthy life</w:t>
            </w:r>
            <w:r w:rsidDel="00000000" w:rsidR="00000000" w:rsidRPr="00000000">
              <w:rPr>
                <w:rFonts w:ascii="Arial" w:cs="Arial" w:eastAsia="Arial" w:hAnsi="Arial"/>
                <w:color w:val="1d3d63"/>
                <w:sz w:val="19"/>
                <w:szCs w:val="19"/>
                <w:rtl w:val="0"/>
              </w:rPr>
              <w:t xml:space="preserve"> – measured by </w:t>
            </w:r>
            <w:r w:rsidDel="00000000" w:rsidR="00000000" w:rsidRPr="00000000">
              <w:rPr>
                <w:rFonts w:ascii="Arial" w:cs="Arial" w:eastAsia="Arial" w:hAnsi="Arial"/>
                <w:i w:val="1"/>
                <w:color w:val="1d3d63"/>
                <w:sz w:val="19"/>
                <w:szCs w:val="19"/>
                <w:rtl w:val="0"/>
              </w:rPr>
              <w:t xml:space="preserve">life expectancy</w:t>
            </w:r>
            <w:r w:rsidDel="00000000" w:rsidR="00000000" w:rsidRPr="00000000">
              <w:rPr>
                <w:rFonts w:ascii="Arial" w:cs="Arial" w:eastAsia="Arial" w:hAnsi="Arial"/>
                <w:color w:val="1d3d63"/>
                <w:sz w:val="19"/>
                <w:szCs w:val="19"/>
                <w:rtl w:val="0"/>
              </w:rPr>
              <w:t xml:space="preserve">.</w:t>
            </w:r>
          </w:p>
          <w:p w:rsidR="00000000" w:rsidDel="00000000" w:rsidP="00000000" w:rsidRDefault="00000000" w:rsidRPr="00000000" w14:paraId="00000008">
            <w:pPr>
              <w:shd w:fill="fafafa" w:val="clear"/>
              <w:spacing w:after="240" w:before="240" w:lineRule="auto"/>
              <w:rPr>
                <w:rFonts w:ascii="Arial" w:cs="Arial" w:eastAsia="Arial" w:hAnsi="Arial"/>
                <w:color w:val="1d3d63"/>
                <w:sz w:val="19"/>
                <w:szCs w:val="19"/>
              </w:rPr>
            </w:pPr>
            <w:r w:rsidDel="00000000" w:rsidR="00000000" w:rsidRPr="00000000">
              <w:rPr>
                <w:rFonts w:ascii="Arial" w:cs="Arial" w:eastAsia="Arial" w:hAnsi="Arial"/>
                <w:color w:val="1d3d63"/>
                <w:sz w:val="19"/>
                <w:szCs w:val="19"/>
                <w:rtl w:val="0"/>
              </w:rPr>
              <w:t xml:space="preserve">– </w:t>
            </w:r>
            <w:r w:rsidDel="00000000" w:rsidR="00000000" w:rsidRPr="00000000">
              <w:rPr>
                <w:rFonts w:ascii="Arial" w:cs="Arial" w:eastAsia="Arial" w:hAnsi="Arial"/>
                <w:b w:val="1"/>
                <w:color w:val="1d3d63"/>
                <w:sz w:val="19"/>
                <w:szCs w:val="19"/>
                <w:rtl w:val="0"/>
              </w:rPr>
              <w:t xml:space="preserve">Access to education</w:t>
            </w:r>
            <w:r w:rsidDel="00000000" w:rsidR="00000000" w:rsidRPr="00000000">
              <w:rPr>
                <w:rFonts w:ascii="Arial" w:cs="Arial" w:eastAsia="Arial" w:hAnsi="Arial"/>
                <w:color w:val="1d3d63"/>
                <w:sz w:val="19"/>
                <w:szCs w:val="19"/>
                <w:rtl w:val="0"/>
              </w:rPr>
              <w:t xml:space="preserve"> – measured by </w:t>
            </w:r>
            <w:r w:rsidDel="00000000" w:rsidR="00000000" w:rsidRPr="00000000">
              <w:rPr>
                <w:rFonts w:ascii="Arial" w:cs="Arial" w:eastAsia="Arial" w:hAnsi="Arial"/>
                <w:i w:val="1"/>
                <w:color w:val="1d3d63"/>
                <w:sz w:val="19"/>
                <w:szCs w:val="19"/>
                <w:rtl w:val="0"/>
              </w:rPr>
              <w:t xml:space="preserve">expected years of schooling</w:t>
            </w:r>
            <w:r w:rsidDel="00000000" w:rsidR="00000000" w:rsidRPr="00000000">
              <w:rPr>
                <w:rFonts w:ascii="Arial" w:cs="Arial" w:eastAsia="Arial" w:hAnsi="Arial"/>
                <w:color w:val="1d3d63"/>
                <w:sz w:val="19"/>
                <w:szCs w:val="19"/>
                <w:rtl w:val="0"/>
              </w:rPr>
              <w:t xml:space="preserve"> of children at school-entry age and </w:t>
            </w:r>
            <w:r w:rsidDel="00000000" w:rsidR="00000000" w:rsidRPr="00000000">
              <w:rPr>
                <w:rFonts w:ascii="Arial" w:cs="Arial" w:eastAsia="Arial" w:hAnsi="Arial"/>
                <w:i w:val="1"/>
                <w:color w:val="1d3d63"/>
                <w:sz w:val="19"/>
                <w:szCs w:val="19"/>
                <w:rtl w:val="0"/>
              </w:rPr>
              <w:t xml:space="preserve">mean years of schooling</w:t>
            </w:r>
            <w:r w:rsidDel="00000000" w:rsidR="00000000" w:rsidRPr="00000000">
              <w:rPr>
                <w:rFonts w:ascii="Arial" w:cs="Arial" w:eastAsia="Arial" w:hAnsi="Arial"/>
                <w:color w:val="1d3d63"/>
                <w:sz w:val="19"/>
                <w:szCs w:val="19"/>
                <w:rtl w:val="0"/>
              </w:rPr>
              <w:t xml:space="preserve"> of the adult population.</w:t>
            </w:r>
          </w:p>
          <w:p w:rsidR="00000000" w:rsidDel="00000000" w:rsidP="00000000" w:rsidRDefault="00000000" w:rsidRPr="00000000" w14:paraId="00000009">
            <w:pPr>
              <w:shd w:fill="fafafa" w:val="clear"/>
              <w:spacing w:after="240" w:before="240" w:lineRule="auto"/>
              <w:rPr>
                <w:rFonts w:ascii="Arial" w:cs="Arial" w:eastAsia="Arial" w:hAnsi="Arial"/>
                <w:color w:val="1d3d63"/>
                <w:sz w:val="19"/>
                <w:szCs w:val="19"/>
              </w:rPr>
            </w:pPr>
            <w:r w:rsidDel="00000000" w:rsidR="00000000" w:rsidRPr="00000000">
              <w:rPr>
                <w:rFonts w:ascii="Arial" w:cs="Arial" w:eastAsia="Arial" w:hAnsi="Arial"/>
                <w:color w:val="1d3d63"/>
                <w:sz w:val="19"/>
                <w:szCs w:val="19"/>
                <w:rtl w:val="0"/>
              </w:rPr>
              <w:t xml:space="preserve">– </w:t>
            </w:r>
            <w:r w:rsidDel="00000000" w:rsidR="00000000" w:rsidRPr="00000000">
              <w:rPr>
                <w:rFonts w:ascii="Arial" w:cs="Arial" w:eastAsia="Arial" w:hAnsi="Arial"/>
                <w:b w:val="1"/>
                <w:color w:val="1d3d63"/>
                <w:sz w:val="19"/>
                <w:szCs w:val="19"/>
                <w:rtl w:val="0"/>
              </w:rPr>
              <w:t xml:space="preserve">And a decent standard of living</w:t>
            </w:r>
            <w:r w:rsidDel="00000000" w:rsidR="00000000" w:rsidRPr="00000000">
              <w:rPr>
                <w:rFonts w:ascii="Arial" w:cs="Arial" w:eastAsia="Arial" w:hAnsi="Arial"/>
                <w:color w:val="1d3d63"/>
                <w:sz w:val="19"/>
                <w:szCs w:val="19"/>
                <w:rtl w:val="0"/>
              </w:rPr>
              <w:t xml:space="preserve"> – measured by </w:t>
            </w:r>
            <w:r w:rsidDel="00000000" w:rsidR="00000000" w:rsidRPr="00000000">
              <w:rPr>
                <w:rFonts w:ascii="Arial" w:cs="Arial" w:eastAsia="Arial" w:hAnsi="Arial"/>
                <w:i w:val="1"/>
                <w:color w:val="1d3d63"/>
                <w:sz w:val="19"/>
                <w:szCs w:val="19"/>
                <w:rtl w:val="0"/>
              </w:rPr>
              <w:t xml:space="preserve">Gross National Income per capita</w:t>
            </w:r>
            <w:r w:rsidDel="00000000" w:rsidR="00000000" w:rsidRPr="00000000">
              <w:rPr>
                <w:rFonts w:ascii="Arial" w:cs="Arial" w:eastAsia="Arial" w:hAnsi="Arial"/>
                <w:color w:val="1d3d63"/>
                <w:sz w:val="19"/>
                <w:szCs w:val="19"/>
                <w:rtl w:val="0"/>
              </w:rPr>
              <w:t xml:space="preserve"> adjusted for the price level of the country.</w:t>
            </w:r>
          </w:p>
        </w:tc>
        <w:tc>
          <w:tcPr/>
          <w:p w:rsidR="00000000" w:rsidDel="00000000" w:rsidP="00000000" w:rsidRDefault="00000000" w:rsidRPr="00000000" w14:paraId="0000000A">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United Nations Development Programme (UNDP)</w:t>
            </w:r>
            <w:r w:rsidDel="00000000" w:rsidR="00000000" w:rsidRPr="00000000">
              <w:rPr>
                <w:rtl w:val="0"/>
              </w:rPr>
            </w:r>
          </w:p>
        </w:tc>
      </w:tr>
      <w:tr>
        <w:tc>
          <w:tcPr/>
          <w:p w:rsidR="00000000" w:rsidDel="00000000" w:rsidP="00000000" w:rsidRDefault="00000000" w:rsidRPr="00000000" w14:paraId="0000000B">
            <w:pPr>
              <w:rPr/>
            </w:pPr>
            <w:hyperlink r:id="rId7">
              <w:r w:rsidDel="00000000" w:rsidR="00000000" w:rsidRPr="00000000">
                <w:rPr>
                  <w:rFonts w:ascii="Arial" w:cs="Arial" w:eastAsia="Arial" w:hAnsi="Arial"/>
                  <w:color w:val="1155cc"/>
                  <w:sz w:val="19"/>
                  <w:szCs w:val="19"/>
                  <w:u w:val="single"/>
                  <w:rtl w:val="0"/>
                </w:rPr>
                <w:t xml:space="preserve">Happiness Report</w:t>
              </w:r>
            </w:hyperlink>
            <w:r w:rsidDel="00000000" w:rsidR="00000000" w:rsidRPr="00000000">
              <w:rPr>
                <w:rFonts w:ascii="Arial" w:cs="Arial" w:eastAsia="Arial" w:hAnsi="Arial"/>
                <w:sz w:val="19"/>
                <w:szCs w:val="19"/>
                <w:u w:val="single"/>
                <w:rtl w:val="0"/>
              </w:rPr>
              <w:t xml:space="preserve"> </w:t>
            </w:r>
            <w:r w:rsidDel="00000000" w:rsidR="00000000" w:rsidRPr="00000000">
              <w:rPr>
                <w:rtl w:val="0"/>
              </w:rPr>
            </w:r>
          </w:p>
        </w:tc>
        <w:tc>
          <w:tcPr/>
          <w:p w:rsidR="00000000" w:rsidDel="00000000" w:rsidP="00000000" w:rsidRDefault="00000000" w:rsidRPr="00000000" w14:paraId="0000000C">
            <w:pPr>
              <w:rPr>
                <w:rFonts w:ascii="Arial" w:cs="Arial" w:eastAsia="Arial" w:hAnsi="Arial"/>
                <w:sz w:val="19"/>
                <w:szCs w:val="19"/>
              </w:rPr>
            </w:pPr>
            <w:r w:rsidDel="00000000" w:rsidR="00000000" w:rsidRPr="00000000">
              <w:rPr>
                <w:rFonts w:ascii="Arial" w:cs="Arial" w:eastAsia="Arial" w:hAnsi="Arial"/>
                <w:color w:val="1d3d63"/>
                <w:sz w:val="19"/>
                <w:szCs w:val="19"/>
                <w:shd w:fill="fafafa" w:val="clear"/>
                <w:rtl w:val="0"/>
              </w:rPr>
              <w:t xml:space="preserve">The main life evaluation question asked in the poll is: “Please imagine a ladder, with steps numbered from 0 at the bottom to 10 at the top.</w:t>
            </w:r>
            <w:r w:rsidDel="00000000" w:rsidR="00000000" w:rsidRPr="00000000">
              <w:rPr>
                <w:rtl w:val="0"/>
              </w:rPr>
            </w:r>
          </w:p>
        </w:tc>
        <w:tc>
          <w:tcPr/>
          <w:p w:rsidR="00000000" w:rsidDel="00000000" w:rsidP="00000000" w:rsidRDefault="00000000" w:rsidRPr="00000000" w14:paraId="0000000D">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World Happiness Report 2019 - Gallup World Poll surveys (life evaluation question)</w:t>
            </w:r>
            <w:r w:rsidDel="00000000" w:rsidR="00000000" w:rsidRPr="00000000">
              <w:rPr>
                <w:rtl w:val="0"/>
              </w:rPr>
            </w:r>
          </w:p>
        </w:tc>
      </w:tr>
      <w:tr>
        <w:tc>
          <w:tcPr/>
          <w:p w:rsidR="00000000" w:rsidDel="00000000" w:rsidP="00000000" w:rsidRDefault="00000000" w:rsidRPr="00000000" w14:paraId="0000000E">
            <w:pPr>
              <w:rPr/>
            </w:pPr>
            <w:hyperlink r:id="rId8">
              <w:r w:rsidDel="00000000" w:rsidR="00000000" w:rsidRPr="00000000">
                <w:rPr>
                  <w:rFonts w:ascii="Arial" w:cs="Arial" w:eastAsia="Arial" w:hAnsi="Arial"/>
                  <w:color w:val="1155cc"/>
                  <w:sz w:val="19"/>
                  <w:szCs w:val="19"/>
                  <w:u w:val="single"/>
                  <w:rtl w:val="0"/>
                </w:rPr>
                <w:t xml:space="preserve">Decrease in Cancer Deaths</w:t>
              </w:r>
            </w:hyperlink>
            <w:r w:rsidDel="00000000" w:rsidR="00000000" w:rsidRPr="00000000">
              <w:rPr>
                <w:rtl w:val="0"/>
              </w:rPr>
            </w:r>
          </w:p>
        </w:tc>
        <w:tc>
          <w:tcPr/>
          <w:p w:rsidR="00000000" w:rsidDel="00000000" w:rsidP="00000000" w:rsidRDefault="00000000" w:rsidRPr="00000000" w14:paraId="0000000F">
            <w:pPr>
              <w:rPr>
                <w:rFonts w:ascii="Arial" w:cs="Arial" w:eastAsia="Arial" w:hAnsi="Arial"/>
                <w:sz w:val="19"/>
                <w:szCs w:val="19"/>
              </w:rPr>
            </w:pPr>
            <w:r w:rsidDel="00000000" w:rsidR="00000000" w:rsidRPr="00000000">
              <w:rPr>
                <w:rFonts w:ascii="Arial" w:cs="Arial" w:eastAsia="Arial" w:hAnsi="Arial"/>
                <w:sz w:val="19"/>
                <w:szCs w:val="19"/>
                <w:rtl w:val="0"/>
              </w:rPr>
              <w:t xml:space="preserve">The number of deaths by Cancer.</w:t>
            </w:r>
          </w:p>
        </w:tc>
        <w:tc>
          <w:tcPr/>
          <w:p w:rsidR="00000000" w:rsidDel="00000000" w:rsidP="00000000" w:rsidRDefault="00000000" w:rsidRPr="00000000" w14:paraId="00000010">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 Global Burden of Disease Study 2017 (GBD 2017) Results.</w:t>
            </w:r>
            <w:r w:rsidDel="00000000" w:rsidR="00000000" w:rsidRPr="00000000">
              <w:rPr>
                <w:rtl w:val="0"/>
              </w:rPr>
            </w:r>
          </w:p>
        </w:tc>
      </w:tr>
      <w:tr>
        <w:tc>
          <w:tcPr/>
          <w:p w:rsidR="00000000" w:rsidDel="00000000" w:rsidP="00000000" w:rsidRDefault="00000000" w:rsidRPr="00000000" w14:paraId="00000011">
            <w:pPr>
              <w:rPr/>
            </w:pPr>
            <w:hyperlink r:id="rId9">
              <w:r w:rsidDel="00000000" w:rsidR="00000000" w:rsidRPr="00000000">
                <w:rPr>
                  <w:rFonts w:ascii="Arial" w:cs="Arial" w:eastAsia="Arial" w:hAnsi="Arial"/>
                  <w:color w:val="1155cc"/>
                  <w:sz w:val="19"/>
                  <w:szCs w:val="19"/>
                  <w:u w:val="single"/>
                  <w:rtl w:val="0"/>
                </w:rPr>
                <w:t xml:space="preserve">Decrease in Cancer Incidence</w:t>
              </w:r>
            </w:hyperlink>
            <w:r w:rsidDel="00000000" w:rsidR="00000000" w:rsidRPr="00000000">
              <w:rPr>
                <w:rtl w:val="0"/>
              </w:rPr>
            </w:r>
          </w:p>
        </w:tc>
        <w:tc>
          <w:tcPr/>
          <w:p w:rsidR="00000000" w:rsidDel="00000000" w:rsidP="00000000" w:rsidRDefault="00000000" w:rsidRPr="00000000" w14:paraId="00000012">
            <w:pPr>
              <w:rPr>
                <w:rFonts w:ascii="Arial" w:cs="Arial" w:eastAsia="Arial" w:hAnsi="Arial"/>
                <w:sz w:val="19"/>
                <w:szCs w:val="19"/>
              </w:rPr>
            </w:pPr>
            <w:r w:rsidDel="00000000" w:rsidR="00000000" w:rsidRPr="00000000">
              <w:rPr>
                <w:rFonts w:ascii="Arial" w:cs="Arial" w:eastAsia="Arial" w:hAnsi="Arial"/>
                <w:sz w:val="19"/>
                <w:szCs w:val="19"/>
                <w:rtl w:val="0"/>
              </w:rPr>
              <w:t xml:space="preserve">The number of incidences of Cancer.</w:t>
            </w:r>
          </w:p>
        </w:tc>
        <w:tc>
          <w:tcPr/>
          <w:p w:rsidR="00000000" w:rsidDel="00000000" w:rsidP="00000000" w:rsidRDefault="00000000" w:rsidRPr="00000000" w14:paraId="00000013">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 Results</w:t>
            </w:r>
            <w:r w:rsidDel="00000000" w:rsidR="00000000" w:rsidRPr="00000000">
              <w:rPr>
                <w:rtl w:val="0"/>
              </w:rPr>
            </w:r>
          </w:p>
        </w:tc>
      </w:tr>
      <w:tr>
        <w:tc>
          <w:tcPr/>
          <w:p w:rsidR="00000000" w:rsidDel="00000000" w:rsidP="00000000" w:rsidRDefault="00000000" w:rsidRPr="00000000" w14:paraId="00000014">
            <w:pPr>
              <w:rPr>
                <w:rFonts w:ascii="Arial" w:cs="Arial" w:eastAsia="Arial" w:hAnsi="Arial"/>
                <w:sz w:val="19"/>
                <w:szCs w:val="19"/>
              </w:rPr>
            </w:pPr>
            <w:hyperlink r:id="rId10">
              <w:r w:rsidDel="00000000" w:rsidR="00000000" w:rsidRPr="00000000">
                <w:rPr>
                  <w:rFonts w:ascii="Arial" w:cs="Arial" w:eastAsia="Arial" w:hAnsi="Arial"/>
                  <w:color w:val="1155cc"/>
                  <w:sz w:val="19"/>
                  <w:szCs w:val="19"/>
                  <w:u w:val="single"/>
                  <w:rtl w:val="0"/>
                </w:rPr>
                <w:t xml:space="preserve">Decrease in Autism</w:t>
              </w:r>
            </w:hyperlink>
            <w:r w:rsidDel="00000000" w:rsidR="00000000" w:rsidRPr="00000000">
              <w:rPr>
                <w:rtl w:val="0"/>
              </w:rPr>
            </w:r>
          </w:p>
        </w:tc>
        <w:tc>
          <w:tcPr/>
          <w:p w:rsidR="00000000" w:rsidDel="00000000" w:rsidP="00000000" w:rsidRDefault="00000000" w:rsidRPr="00000000" w14:paraId="00000015">
            <w:pPr>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Disability-Adjusted Life Years (DALYs) per 100,000 individuals from all causes.</w:t>
            </w:r>
            <w:r w:rsidDel="00000000" w:rsidR="00000000" w:rsidRPr="00000000">
              <w:rPr>
                <w:rFonts w:ascii="Arial" w:cs="Arial" w:eastAsia="Arial" w:hAnsi="Arial"/>
                <w:sz w:val="19"/>
                <w:szCs w:val="19"/>
                <w:rtl w:val="0"/>
              </w:rPr>
              <w:br w:type="textWrapping"/>
            </w:r>
            <w:r w:rsidDel="00000000" w:rsidR="00000000" w:rsidRPr="00000000">
              <w:rPr>
                <w:rFonts w:ascii="Arial" w:cs="Arial" w:eastAsia="Arial" w:hAnsi="Arial"/>
                <w:sz w:val="19"/>
                <w:szCs w:val="19"/>
                <w:highlight w:val="white"/>
                <w:rtl w:val="0"/>
              </w:rPr>
              <w:t xml:space="preserve">DALYs measure the total burden of disease – both from years of life lost due to premature death and years</w:t>
            </w:r>
            <w:r w:rsidDel="00000000" w:rsidR="00000000" w:rsidRPr="00000000">
              <w:rPr>
                <w:rFonts w:ascii="Arial" w:cs="Arial" w:eastAsia="Arial" w:hAnsi="Arial"/>
                <w:sz w:val="19"/>
                <w:szCs w:val="19"/>
                <w:rtl w:val="0"/>
              </w:rPr>
              <w:br w:type="textWrapping"/>
            </w:r>
            <w:r w:rsidDel="00000000" w:rsidR="00000000" w:rsidRPr="00000000">
              <w:rPr>
                <w:rFonts w:ascii="Arial" w:cs="Arial" w:eastAsia="Arial" w:hAnsi="Arial"/>
                <w:sz w:val="19"/>
                <w:szCs w:val="19"/>
                <w:highlight w:val="white"/>
                <w:rtl w:val="0"/>
              </w:rPr>
              <w:t xml:space="preserve">lived with a disability.</w:t>
            </w:r>
            <w:r w:rsidDel="00000000" w:rsidR="00000000" w:rsidRPr="00000000">
              <w:rPr>
                <w:rtl w:val="0"/>
              </w:rPr>
            </w:r>
          </w:p>
        </w:tc>
        <w:tc>
          <w:tcPr/>
          <w:p w:rsidR="00000000" w:rsidDel="00000000" w:rsidP="00000000" w:rsidRDefault="00000000" w:rsidRPr="00000000" w14:paraId="00000016">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 Global Burden of Disease Study 2017 (GBD 2017) Results</w:t>
            </w:r>
            <w:r w:rsidDel="00000000" w:rsidR="00000000" w:rsidRPr="00000000">
              <w:rPr>
                <w:rtl w:val="0"/>
              </w:rPr>
            </w:r>
          </w:p>
        </w:tc>
      </w:tr>
      <w:tr>
        <w:trPr>
          <w:trHeight w:val="481.962890625" w:hRule="atLeast"/>
        </w:trPr>
        <w:tc>
          <w:tcPr/>
          <w:p w:rsidR="00000000" w:rsidDel="00000000" w:rsidP="00000000" w:rsidRDefault="00000000" w:rsidRPr="00000000" w14:paraId="00000017">
            <w:pPr>
              <w:rPr>
                <w:rFonts w:ascii="Arial" w:cs="Arial" w:eastAsia="Arial" w:hAnsi="Arial"/>
                <w:sz w:val="19"/>
                <w:szCs w:val="19"/>
              </w:rPr>
            </w:pPr>
            <w:hyperlink r:id="rId11">
              <w:r w:rsidDel="00000000" w:rsidR="00000000" w:rsidRPr="00000000">
                <w:rPr>
                  <w:rFonts w:ascii="Arial" w:cs="Arial" w:eastAsia="Arial" w:hAnsi="Arial"/>
                  <w:color w:val="1155cc"/>
                  <w:sz w:val="19"/>
                  <w:szCs w:val="19"/>
                  <w:u w:val="single"/>
                  <w:rtl w:val="0"/>
                </w:rPr>
                <w:t xml:space="preserve">Life Expectancy</w:t>
              </w:r>
            </w:hyperlink>
            <w:r w:rsidDel="00000000" w:rsidR="00000000" w:rsidRPr="00000000">
              <w:rPr>
                <w:rtl w:val="0"/>
              </w:rPr>
            </w:r>
          </w:p>
          <w:p w:rsidR="00000000" w:rsidDel="00000000" w:rsidP="00000000" w:rsidRDefault="00000000" w:rsidRPr="00000000" w14:paraId="00000018">
            <w:pPr>
              <w:rPr>
                <w:rFonts w:ascii="Arial" w:cs="Arial" w:eastAsia="Arial" w:hAnsi="Arial"/>
                <w:sz w:val="19"/>
                <w:szCs w:val="19"/>
              </w:rPr>
            </w:pPr>
            <w:r w:rsidDel="00000000" w:rsidR="00000000" w:rsidRPr="00000000">
              <w:rPr>
                <w:rtl w:val="0"/>
              </w:rPr>
            </w:r>
          </w:p>
        </w:tc>
        <w:tc>
          <w:tcPr/>
          <w:p w:rsidR="00000000" w:rsidDel="00000000" w:rsidP="00000000" w:rsidRDefault="00000000" w:rsidRPr="00000000" w14:paraId="00000019">
            <w:pPr>
              <w:rPr>
                <w:rFonts w:ascii="Arial" w:cs="Arial" w:eastAsia="Arial" w:hAnsi="Arial"/>
                <w:sz w:val="19"/>
                <w:szCs w:val="19"/>
              </w:rPr>
            </w:pPr>
            <w:r w:rsidDel="00000000" w:rsidR="00000000" w:rsidRPr="00000000">
              <w:rPr>
                <w:rFonts w:ascii="Arial" w:cs="Arial" w:eastAsia="Arial" w:hAnsi="Arial"/>
                <w:sz w:val="19"/>
                <w:szCs w:val="19"/>
                <w:rtl w:val="0"/>
              </w:rPr>
              <w:t xml:space="preserve">The average number of years that a newborn could expect to live if he or she were to pass through life subject to the age-specific mortality rates of a given period.</w:t>
            </w:r>
          </w:p>
        </w:tc>
        <w:tc>
          <w:tcPr/>
          <w:p w:rsidR="00000000" w:rsidDel="00000000" w:rsidP="00000000" w:rsidRDefault="00000000" w:rsidRPr="00000000" w14:paraId="0000001A">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World Bank – World Development Indicators</w:t>
            </w:r>
            <w:r w:rsidDel="00000000" w:rsidR="00000000" w:rsidRPr="00000000">
              <w:rPr>
                <w:rtl w:val="0"/>
              </w:rPr>
            </w:r>
          </w:p>
        </w:tc>
      </w:tr>
      <w:tr>
        <w:tc>
          <w:tcPr/>
          <w:p w:rsidR="00000000" w:rsidDel="00000000" w:rsidP="00000000" w:rsidRDefault="00000000" w:rsidRPr="00000000" w14:paraId="0000001B">
            <w:pPr>
              <w:rPr/>
            </w:pPr>
            <w:hyperlink r:id="rId12">
              <w:r w:rsidDel="00000000" w:rsidR="00000000" w:rsidRPr="00000000">
                <w:rPr>
                  <w:rFonts w:ascii="Arial" w:cs="Arial" w:eastAsia="Arial" w:hAnsi="Arial"/>
                  <w:color w:val="1155cc"/>
                  <w:sz w:val="19"/>
                  <w:szCs w:val="19"/>
                  <w:u w:val="single"/>
                  <w:rtl w:val="0"/>
                </w:rPr>
                <w:t xml:space="preserve">Decrease in Air Pollution</w:t>
              </w:r>
            </w:hyperlink>
            <w:r w:rsidDel="00000000" w:rsidR="00000000" w:rsidRPr="00000000">
              <w:rPr>
                <w:rtl w:val="0"/>
              </w:rPr>
            </w:r>
          </w:p>
        </w:tc>
        <w:tc>
          <w:tcPr/>
          <w:p w:rsidR="00000000" w:rsidDel="00000000" w:rsidP="00000000" w:rsidRDefault="00000000" w:rsidRPr="00000000" w14:paraId="0000001C">
            <w:pPr>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Age-standardized death rates from outdoor ozone, particulates, and indoor fuel pollution per 100,000</w:t>
            </w:r>
            <w:r w:rsidDel="00000000" w:rsidR="00000000" w:rsidRPr="00000000">
              <w:rPr>
                <w:rFonts w:ascii="Arial" w:cs="Arial" w:eastAsia="Arial" w:hAnsi="Arial"/>
                <w:sz w:val="19"/>
                <w:szCs w:val="19"/>
                <w:rtl w:val="0"/>
              </w:rPr>
              <w:br w:type="textWrapping"/>
            </w:r>
            <w:r w:rsidDel="00000000" w:rsidR="00000000" w:rsidRPr="00000000">
              <w:rPr>
                <w:rFonts w:ascii="Arial" w:cs="Arial" w:eastAsia="Arial" w:hAnsi="Arial"/>
                <w:sz w:val="19"/>
                <w:szCs w:val="19"/>
                <w:highlight w:val="white"/>
                <w:rtl w:val="0"/>
              </w:rPr>
              <w:t xml:space="preserve">individuals.</w:t>
            </w:r>
            <w:r w:rsidDel="00000000" w:rsidR="00000000" w:rsidRPr="00000000">
              <w:rPr>
                <w:rtl w:val="0"/>
              </w:rPr>
            </w:r>
          </w:p>
        </w:tc>
        <w:tc>
          <w:tcPr/>
          <w:p w:rsidR="00000000" w:rsidDel="00000000" w:rsidP="00000000" w:rsidRDefault="00000000" w:rsidRPr="00000000" w14:paraId="0000001D">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 Results</w:t>
            </w:r>
            <w:r w:rsidDel="00000000" w:rsidR="00000000" w:rsidRPr="00000000">
              <w:rPr>
                <w:rtl w:val="0"/>
              </w:rPr>
            </w:r>
          </w:p>
        </w:tc>
      </w:tr>
      <w:tr>
        <w:tc>
          <w:tcPr/>
          <w:p w:rsidR="00000000" w:rsidDel="00000000" w:rsidP="00000000" w:rsidRDefault="00000000" w:rsidRPr="00000000" w14:paraId="0000001E">
            <w:pPr>
              <w:rPr/>
            </w:pPr>
            <w:hyperlink r:id="rId13">
              <w:r w:rsidDel="00000000" w:rsidR="00000000" w:rsidRPr="00000000">
                <w:rPr>
                  <w:rFonts w:ascii="Arial" w:cs="Arial" w:eastAsia="Arial" w:hAnsi="Arial"/>
                  <w:color w:val="1155cc"/>
                  <w:sz w:val="19"/>
                  <w:szCs w:val="19"/>
                  <w:u w:val="single"/>
                  <w:rtl w:val="0"/>
                </w:rPr>
                <w:t xml:space="preserve">Decrease in Vaccine Preventable Deaths</w:t>
              </w:r>
            </w:hyperlink>
            <w:r w:rsidDel="00000000" w:rsidR="00000000" w:rsidRPr="00000000">
              <w:rPr>
                <w:rtl w:val="0"/>
              </w:rPr>
            </w:r>
          </w:p>
        </w:tc>
        <w:tc>
          <w:tcPr/>
          <w:p w:rsidR="00000000" w:rsidDel="00000000" w:rsidP="00000000" w:rsidRDefault="00000000" w:rsidRPr="00000000" w14:paraId="0000001F">
            <w:pPr>
              <w:rPr>
                <w:rFonts w:ascii="Arial" w:cs="Arial" w:eastAsia="Arial" w:hAnsi="Arial"/>
                <w:sz w:val="19"/>
                <w:szCs w:val="19"/>
              </w:rPr>
            </w:pPr>
            <w:r w:rsidDel="00000000" w:rsidR="00000000" w:rsidRPr="00000000">
              <w:rPr>
                <w:rFonts w:ascii="Arial" w:cs="Arial" w:eastAsia="Arial" w:hAnsi="Arial"/>
                <w:sz w:val="19"/>
                <w:szCs w:val="19"/>
                <w:rtl w:val="0"/>
              </w:rPr>
              <w:t xml:space="preserve">Deaths caused by diseases with available vaccines.</w:t>
            </w:r>
          </w:p>
        </w:tc>
        <w:tc>
          <w:tcPr/>
          <w:p w:rsidR="00000000" w:rsidDel="00000000" w:rsidP="00000000" w:rsidRDefault="00000000" w:rsidRPr="00000000" w14:paraId="00000020">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 Results</w:t>
            </w:r>
            <w:r w:rsidDel="00000000" w:rsidR="00000000" w:rsidRPr="00000000">
              <w:rPr>
                <w:rtl w:val="0"/>
              </w:rPr>
            </w:r>
          </w:p>
        </w:tc>
      </w:tr>
      <w:tr>
        <w:tc>
          <w:tcPr/>
          <w:p w:rsidR="00000000" w:rsidDel="00000000" w:rsidP="00000000" w:rsidRDefault="00000000" w:rsidRPr="00000000" w14:paraId="00000021">
            <w:pPr>
              <w:rPr/>
            </w:pPr>
            <w:hyperlink r:id="rId14">
              <w:r w:rsidDel="00000000" w:rsidR="00000000" w:rsidRPr="00000000">
                <w:rPr>
                  <w:rFonts w:ascii="Arial" w:cs="Arial" w:eastAsia="Arial" w:hAnsi="Arial"/>
                  <w:color w:val="1155cc"/>
                  <w:sz w:val="19"/>
                  <w:szCs w:val="19"/>
                  <w:u w:val="single"/>
                  <w:rtl w:val="0"/>
                </w:rPr>
                <w:t xml:space="preserve">Decrease in Deaths Caused by Unclean Water</w:t>
              </w:r>
            </w:hyperlink>
            <w:r w:rsidDel="00000000" w:rsidR="00000000" w:rsidRPr="00000000">
              <w:rPr>
                <w:rtl w:val="0"/>
              </w:rPr>
            </w:r>
          </w:p>
        </w:tc>
        <w:tc>
          <w:tcPr/>
          <w:p w:rsidR="00000000" w:rsidDel="00000000" w:rsidP="00000000" w:rsidRDefault="00000000" w:rsidRPr="00000000" w14:paraId="00000022">
            <w:pPr>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Number of premature deaths caused by unsafe drinking water.</w:t>
            </w:r>
            <w:r w:rsidDel="00000000" w:rsidR="00000000" w:rsidRPr="00000000">
              <w:rPr>
                <w:rtl w:val="0"/>
              </w:rPr>
            </w:r>
          </w:p>
        </w:tc>
        <w:tc>
          <w:tcPr/>
          <w:p w:rsidR="00000000" w:rsidDel="00000000" w:rsidP="00000000" w:rsidRDefault="00000000" w:rsidRPr="00000000" w14:paraId="00000023">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 Global Burden of Disease Study 2017 (GBD 2017) Results</w:t>
            </w:r>
            <w:r w:rsidDel="00000000" w:rsidR="00000000" w:rsidRPr="00000000">
              <w:rPr>
                <w:rtl w:val="0"/>
              </w:rPr>
            </w:r>
          </w:p>
        </w:tc>
      </w:tr>
      <w:tr>
        <w:trPr>
          <w:trHeight w:val="630" w:hRule="atLeast"/>
        </w:trPr>
        <w:tc>
          <w:tcPr/>
          <w:p w:rsidR="00000000" w:rsidDel="00000000" w:rsidP="00000000" w:rsidRDefault="00000000" w:rsidRPr="00000000" w14:paraId="00000024">
            <w:pPr>
              <w:rPr/>
            </w:pPr>
            <w:hyperlink r:id="rId15">
              <w:r w:rsidDel="00000000" w:rsidR="00000000" w:rsidRPr="00000000">
                <w:rPr>
                  <w:rFonts w:ascii="Arial" w:cs="Arial" w:eastAsia="Arial" w:hAnsi="Arial"/>
                  <w:color w:val="1155cc"/>
                  <w:sz w:val="19"/>
                  <w:szCs w:val="19"/>
                  <w:u w:val="single"/>
                  <w:rtl w:val="0"/>
                </w:rPr>
                <w:t xml:space="preserve">Decrease in Death Caused by Unsanitary Conditions</w:t>
              </w:r>
            </w:hyperlink>
            <w:r w:rsidDel="00000000" w:rsidR="00000000" w:rsidRPr="00000000">
              <w:rPr>
                <w:rtl w:val="0"/>
              </w:rPr>
            </w:r>
          </w:p>
        </w:tc>
        <w:tc>
          <w:tcPr/>
          <w:p w:rsidR="00000000" w:rsidDel="00000000" w:rsidP="00000000" w:rsidRDefault="00000000" w:rsidRPr="00000000" w14:paraId="00000025">
            <w:pPr>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Number of premature deaths caused by unsanitary conditions.</w:t>
            </w:r>
            <w:r w:rsidDel="00000000" w:rsidR="00000000" w:rsidRPr="00000000">
              <w:rPr>
                <w:rtl w:val="0"/>
              </w:rPr>
            </w:r>
          </w:p>
        </w:tc>
        <w:tc>
          <w:tcPr/>
          <w:p w:rsidR="00000000" w:rsidDel="00000000" w:rsidP="00000000" w:rsidRDefault="00000000" w:rsidRPr="00000000" w14:paraId="00000026">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 Results.</w:t>
            </w:r>
            <w:r w:rsidDel="00000000" w:rsidR="00000000" w:rsidRPr="00000000">
              <w:rPr>
                <w:rtl w:val="0"/>
              </w:rPr>
            </w:r>
          </w:p>
        </w:tc>
      </w:tr>
      <w:tr>
        <w:tc>
          <w:tcPr/>
          <w:p w:rsidR="00000000" w:rsidDel="00000000" w:rsidP="00000000" w:rsidRDefault="00000000" w:rsidRPr="00000000" w14:paraId="00000027">
            <w:pPr>
              <w:rPr>
                <w:rFonts w:ascii="Arial" w:cs="Arial" w:eastAsia="Arial" w:hAnsi="Arial"/>
                <w:sz w:val="19"/>
                <w:szCs w:val="19"/>
                <w:highlight w:val="white"/>
              </w:rPr>
            </w:pPr>
            <w:hyperlink r:id="rId16">
              <w:r w:rsidDel="00000000" w:rsidR="00000000" w:rsidRPr="00000000">
                <w:rPr>
                  <w:rFonts w:ascii="Arial" w:cs="Arial" w:eastAsia="Arial" w:hAnsi="Arial"/>
                  <w:color w:val="1155cc"/>
                  <w:sz w:val="19"/>
                  <w:szCs w:val="19"/>
                  <w:u w:val="single"/>
                  <w:rtl w:val="0"/>
                </w:rPr>
                <w:t xml:space="preserve">Decrease in Suicide</w:t>
              </w:r>
            </w:hyperlink>
            <w:r w:rsidDel="00000000" w:rsidR="00000000" w:rsidRPr="00000000">
              <w:rPr>
                <w:rtl w:val="0"/>
              </w:rPr>
            </w:r>
          </w:p>
        </w:tc>
        <w:tc>
          <w:tcPr/>
          <w:p w:rsidR="00000000" w:rsidDel="00000000" w:rsidP="00000000" w:rsidRDefault="00000000" w:rsidRPr="00000000" w14:paraId="00000028">
            <w:pPr>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annual number of deaths from suicide per 100,000 people.</w:t>
            </w:r>
            <w:r w:rsidDel="00000000" w:rsidR="00000000" w:rsidRPr="00000000">
              <w:rPr>
                <w:rtl w:val="0"/>
              </w:rPr>
            </w:r>
          </w:p>
        </w:tc>
        <w:tc>
          <w:tcPr/>
          <w:p w:rsidR="00000000" w:rsidDel="00000000" w:rsidP="00000000" w:rsidRDefault="00000000" w:rsidRPr="00000000" w14:paraId="00000029">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w:t>
            </w:r>
            <w:r w:rsidDel="00000000" w:rsidR="00000000" w:rsidRPr="00000000">
              <w:rPr>
                <w:rtl w:val="0"/>
              </w:rPr>
            </w:r>
          </w:p>
        </w:tc>
      </w:tr>
      <w:tr>
        <w:tc>
          <w:tcPr/>
          <w:p w:rsidR="00000000" w:rsidDel="00000000" w:rsidP="00000000" w:rsidRDefault="00000000" w:rsidRPr="00000000" w14:paraId="0000002A">
            <w:pPr>
              <w:rPr>
                <w:rFonts w:ascii="Arial" w:cs="Arial" w:eastAsia="Arial" w:hAnsi="Arial"/>
                <w:sz w:val="19"/>
                <w:szCs w:val="19"/>
                <w:highlight w:val="white"/>
              </w:rPr>
            </w:pPr>
            <w:hyperlink r:id="rId17">
              <w:r w:rsidDel="00000000" w:rsidR="00000000" w:rsidRPr="00000000">
                <w:rPr>
                  <w:rFonts w:ascii="Arial" w:cs="Arial" w:eastAsia="Arial" w:hAnsi="Arial"/>
                  <w:color w:val="1155cc"/>
                  <w:sz w:val="19"/>
                  <w:szCs w:val="19"/>
                  <w:u w:val="single"/>
                  <w:rtl w:val="0"/>
                </w:rPr>
                <w:t xml:space="preserve">Decrease in HIV deaths</w:t>
              </w:r>
            </w:hyperlink>
            <w:r w:rsidDel="00000000" w:rsidR="00000000" w:rsidRPr="00000000">
              <w:rPr>
                <w:rtl w:val="0"/>
              </w:rPr>
            </w:r>
          </w:p>
        </w:tc>
        <w:tc>
          <w:tcPr/>
          <w:p w:rsidR="00000000" w:rsidDel="00000000" w:rsidP="00000000" w:rsidRDefault="00000000" w:rsidRPr="00000000" w14:paraId="0000002B">
            <w:pPr>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number of deaths from HIV/AIDS per 100,000 people.</w:t>
            </w:r>
          </w:p>
        </w:tc>
        <w:tc>
          <w:tcPr/>
          <w:p w:rsidR="00000000" w:rsidDel="00000000" w:rsidP="00000000" w:rsidRDefault="00000000" w:rsidRPr="00000000" w14:paraId="0000002C">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World Health Organization (2018) and Tebbens et al. (2010)</w:t>
            </w:r>
            <w:r w:rsidDel="00000000" w:rsidR="00000000" w:rsidRPr="00000000">
              <w:rPr>
                <w:rtl w:val="0"/>
              </w:rPr>
            </w:r>
          </w:p>
        </w:tc>
      </w:tr>
      <w:tr>
        <w:trPr>
          <w:trHeight w:val="750" w:hRule="atLeast"/>
        </w:trPr>
        <w:tc>
          <w:tcPr/>
          <w:p w:rsidR="00000000" w:rsidDel="00000000" w:rsidP="00000000" w:rsidRDefault="00000000" w:rsidRPr="00000000" w14:paraId="0000002D">
            <w:pPr>
              <w:rPr>
                <w:rFonts w:ascii="Arial" w:cs="Arial" w:eastAsia="Arial" w:hAnsi="Arial"/>
                <w:sz w:val="19"/>
                <w:szCs w:val="19"/>
                <w:highlight w:val="white"/>
              </w:rPr>
            </w:pPr>
            <w:hyperlink r:id="rId18">
              <w:r w:rsidDel="00000000" w:rsidR="00000000" w:rsidRPr="00000000">
                <w:rPr>
                  <w:rFonts w:ascii="Arial" w:cs="Arial" w:eastAsia="Arial" w:hAnsi="Arial"/>
                  <w:color w:val="1155cc"/>
                  <w:sz w:val="19"/>
                  <w:szCs w:val="19"/>
                  <w:u w:val="single"/>
                  <w:rtl w:val="0"/>
                </w:rPr>
                <w:t xml:space="preserve">Decreases in Tuberculosis</w:t>
              </w:r>
            </w:hyperlink>
            <w:r w:rsidDel="00000000" w:rsidR="00000000" w:rsidRPr="00000000">
              <w:rPr>
                <w:rtl w:val="0"/>
              </w:rPr>
            </w:r>
          </w:p>
        </w:tc>
        <w:tc>
          <w:tcPr/>
          <w:p w:rsidR="00000000" w:rsidDel="00000000" w:rsidP="00000000" w:rsidRDefault="00000000" w:rsidRPr="00000000" w14:paraId="0000002E">
            <w:pPr>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The number of deaths from Tuberculosis per 100,000 people.</w:t>
            </w:r>
          </w:p>
        </w:tc>
        <w:tc>
          <w:tcPr/>
          <w:p w:rsidR="00000000" w:rsidDel="00000000" w:rsidP="00000000" w:rsidRDefault="00000000" w:rsidRPr="00000000" w14:paraId="0000002F">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World Health Organization (2018) and Tebbens et al. (2010)</w:t>
            </w:r>
            <w:r w:rsidDel="00000000" w:rsidR="00000000" w:rsidRPr="00000000">
              <w:rPr>
                <w:rtl w:val="0"/>
              </w:rPr>
            </w:r>
          </w:p>
        </w:tc>
      </w:tr>
      <w:tr>
        <w:trPr>
          <w:trHeight w:val="792.4072265625" w:hRule="atLeast"/>
        </w:trPr>
        <w:tc>
          <w:tcPr/>
          <w:p w:rsidR="00000000" w:rsidDel="00000000" w:rsidP="00000000" w:rsidRDefault="00000000" w:rsidRPr="00000000" w14:paraId="00000030">
            <w:pPr>
              <w:rPr>
                <w:rFonts w:ascii="Arial" w:cs="Arial" w:eastAsia="Arial" w:hAnsi="Arial"/>
                <w:sz w:val="19"/>
                <w:szCs w:val="19"/>
                <w:highlight w:val="white"/>
              </w:rPr>
            </w:pPr>
            <w:hyperlink r:id="rId19">
              <w:r w:rsidDel="00000000" w:rsidR="00000000" w:rsidRPr="00000000">
                <w:rPr>
                  <w:rFonts w:ascii="Arial" w:cs="Arial" w:eastAsia="Arial" w:hAnsi="Arial"/>
                  <w:color w:val="1155cc"/>
                  <w:sz w:val="19"/>
                  <w:szCs w:val="19"/>
                  <w:u w:val="single"/>
                  <w:rtl w:val="0"/>
                </w:rPr>
                <w:t xml:space="preserve">GDP</w:t>
              </w:r>
            </w:hyperlink>
            <w:r w:rsidDel="00000000" w:rsidR="00000000" w:rsidRPr="00000000">
              <w:rPr>
                <w:rtl w:val="0"/>
              </w:rPr>
            </w:r>
          </w:p>
        </w:tc>
        <w:tc>
          <w:tcPr/>
          <w:p w:rsidR="00000000" w:rsidDel="00000000" w:rsidP="00000000" w:rsidRDefault="00000000" w:rsidRPr="00000000" w14:paraId="00000031">
            <w:pPr>
              <w:rPr>
                <w:rFonts w:ascii="Arial" w:cs="Arial" w:eastAsia="Arial" w:hAnsi="Arial"/>
                <w:sz w:val="19"/>
                <w:szCs w:val="19"/>
                <w:highlight w:val="white"/>
              </w:rPr>
            </w:pPr>
            <w:r w:rsidDel="00000000" w:rsidR="00000000" w:rsidRPr="00000000">
              <w:rPr>
                <w:rFonts w:ascii="Arial" w:cs="Arial" w:eastAsia="Arial" w:hAnsi="Arial"/>
                <w:color w:val="666666"/>
                <w:sz w:val="19"/>
                <w:szCs w:val="19"/>
                <w:highlight w:val="white"/>
                <w:rtl w:val="0"/>
              </w:rPr>
              <w:t xml:space="preserve">GDP per capita adjusted for price changes over time (inflation) and price differences between countries – it is measured in international-$ in 2011 prices.</w:t>
            </w:r>
            <w:r w:rsidDel="00000000" w:rsidR="00000000" w:rsidRPr="00000000">
              <w:rPr>
                <w:rtl w:val="0"/>
              </w:rPr>
            </w:r>
          </w:p>
        </w:tc>
        <w:tc>
          <w:tcPr/>
          <w:p w:rsidR="00000000" w:rsidDel="00000000" w:rsidP="00000000" w:rsidRDefault="00000000" w:rsidRPr="00000000" w14:paraId="00000032">
            <w:pPr>
              <w:rPr>
                <w:rFonts w:ascii="Arial" w:cs="Arial" w:eastAsia="Arial" w:hAnsi="Arial"/>
                <w:sz w:val="19"/>
                <w:szCs w:val="19"/>
              </w:rPr>
            </w:pPr>
            <w:r w:rsidDel="00000000" w:rsidR="00000000" w:rsidRPr="00000000">
              <w:rPr>
                <w:rFonts w:ascii="Arial" w:cs="Arial" w:eastAsia="Arial" w:hAnsi="Arial"/>
                <w:sz w:val="19"/>
                <w:szCs w:val="19"/>
                <w:rtl w:val="0"/>
              </w:rPr>
              <w:t xml:space="preserve">https://www.rug.nl/ggdc/historicaldevelopment/maddison/releases/maddison-project-database-2020</w:t>
            </w:r>
            <w:r w:rsidDel="00000000" w:rsidR="00000000" w:rsidRPr="00000000">
              <w:rPr>
                <w:rtl w:val="0"/>
              </w:rPr>
            </w:r>
          </w:p>
        </w:tc>
      </w:tr>
      <w:tr>
        <w:trPr>
          <w:trHeight w:val="203.4814453125" w:hRule="atLeast"/>
        </w:trPr>
        <w:tc>
          <w:tcPr/>
          <w:p w:rsidR="00000000" w:rsidDel="00000000" w:rsidP="00000000" w:rsidRDefault="00000000" w:rsidRPr="00000000" w14:paraId="00000033">
            <w:pPr>
              <w:rPr>
                <w:rFonts w:ascii="Arial" w:cs="Arial" w:eastAsia="Arial" w:hAnsi="Arial"/>
                <w:sz w:val="19"/>
                <w:szCs w:val="19"/>
                <w:highlight w:val="white"/>
              </w:rPr>
            </w:pPr>
            <w:hyperlink r:id="rId20">
              <w:r w:rsidDel="00000000" w:rsidR="00000000" w:rsidRPr="00000000">
                <w:rPr>
                  <w:rFonts w:ascii="Arial" w:cs="Arial" w:eastAsia="Arial" w:hAnsi="Arial"/>
                  <w:color w:val="1155cc"/>
                  <w:sz w:val="19"/>
                  <w:szCs w:val="19"/>
                  <w:u w:val="single"/>
                  <w:rtl w:val="0"/>
                </w:rPr>
                <w:t xml:space="preserve">Decrease in CO2 Emissions</w:t>
              </w:r>
            </w:hyperlink>
            <w:r w:rsidDel="00000000" w:rsidR="00000000" w:rsidRPr="00000000">
              <w:rPr>
                <w:rtl w:val="0"/>
              </w:rPr>
            </w:r>
          </w:p>
        </w:tc>
        <w:tc>
          <w:tcPr/>
          <w:p w:rsidR="00000000" w:rsidDel="00000000" w:rsidP="00000000" w:rsidRDefault="00000000" w:rsidRPr="00000000" w14:paraId="00000034">
            <w:pPr>
              <w:rPr>
                <w:rFonts w:ascii="Arial" w:cs="Arial" w:eastAsia="Arial" w:hAnsi="Arial"/>
                <w:sz w:val="19"/>
                <w:szCs w:val="19"/>
                <w:highlight w:val="white"/>
              </w:rPr>
            </w:pPr>
            <w:r w:rsidDel="00000000" w:rsidR="00000000" w:rsidRPr="00000000">
              <w:rPr>
                <w:rFonts w:ascii="Arial" w:cs="Arial" w:eastAsia="Arial" w:hAnsi="Arial"/>
                <w:color w:val="666666"/>
                <w:sz w:val="19"/>
                <w:szCs w:val="19"/>
                <w:highlight w:val="white"/>
                <w:rtl w:val="0"/>
              </w:rPr>
              <w:t xml:space="preserve">Carbon dioxide (CO₂) emissions from the burning of fossil fuels for energy and cement production. Land use change is not included.</w:t>
            </w:r>
            <w:r w:rsidDel="00000000" w:rsidR="00000000" w:rsidRPr="00000000">
              <w:rPr>
                <w:rtl w:val="0"/>
              </w:rPr>
            </w:r>
          </w:p>
        </w:tc>
        <w:tc>
          <w:tcPr/>
          <w:p w:rsidR="00000000" w:rsidDel="00000000" w:rsidP="00000000" w:rsidRDefault="00000000" w:rsidRPr="00000000" w14:paraId="00000035">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Carbon Budget 2020 (Version 1.0)</w:t>
            </w:r>
            <w:r w:rsidDel="00000000" w:rsidR="00000000" w:rsidRPr="00000000">
              <w:rPr>
                <w:rtl w:val="0"/>
              </w:rPr>
            </w:r>
          </w:p>
        </w:tc>
      </w:tr>
      <w:tr>
        <w:tc>
          <w:tcPr/>
          <w:p w:rsidR="00000000" w:rsidDel="00000000" w:rsidP="00000000" w:rsidRDefault="00000000" w:rsidRPr="00000000" w14:paraId="00000036">
            <w:pPr>
              <w:rPr>
                <w:rFonts w:ascii="Arial" w:cs="Arial" w:eastAsia="Arial" w:hAnsi="Arial"/>
                <w:sz w:val="19"/>
                <w:szCs w:val="19"/>
                <w:highlight w:val="white"/>
              </w:rPr>
            </w:pPr>
            <w:hyperlink r:id="rId21">
              <w:r w:rsidDel="00000000" w:rsidR="00000000" w:rsidRPr="00000000">
                <w:rPr>
                  <w:rFonts w:ascii="Arial" w:cs="Arial" w:eastAsia="Arial" w:hAnsi="Arial"/>
                  <w:color w:val="1155cc"/>
                  <w:sz w:val="19"/>
                  <w:szCs w:val="19"/>
                  <w:u w:val="single"/>
                  <w:rtl w:val="0"/>
                </w:rPr>
                <w:t xml:space="preserve">Decrease in Child Mortality</w:t>
              </w:r>
            </w:hyperlink>
            <w:r w:rsidDel="00000000" w:rsidR="00000000" w:rsidRPr="00000000">
              <w:rPr>
                <w:rtl w:val="0"/>
              </w:rPr>
            </w:r>
          </w:p>
        </w:tc>
        <w:tc>
          <w:tcPr/>
          <w:p w:rsidR="00000000" w:rsidDel="00000000" w:rsidP="00000000" w:rsidRDefault="00000000" w:rsidRPr="00000000" w14:paraId="00000037">
            <w:pPr>
              <w:spacing w:line="288" w:lineRule="auto"/>
              <w:rPr>
                <w:rFonts w:ascii="Arial" w:cs="Arial" w:eastAsia="Arial" w:hAnsi="Arial"/>
                <w:color w:val="0073e6"/>
                <w:sz w:val="20"/>
                <w:szCs w:val="20"/>
                <w:highlight w:val="white"/>
              </w:rPr>
            </w:pPr>
            <w:r w:rsidDel="00000000" w:rsidR="00000000" w:rsidRPr="00000000">
              <w:rPr>
                <w:rFonts w:ascii="Arial" w:cs="Arial" w:eastAsia="Arial" w:hAnsi="Arial"/>
                <w:color w:val="666666"/>
                <w:sz w:val="19"/>
                <w:szCs w:val="19"/>
                <w:highlight w:val="white"/>
                <w:rtl w:val="0"/>
              </w:rPr>
              <w:t xml:space="preserve">Share of children, born alive, dying before they are five years old.</w:t>
            </w:r>
            <w:r w:rsidDel="00000000" w:rsidR="00000000" w:rsidRPr="00000000">
              <w:rPr>
                <w:rtl w:val="0"/>
              </w:rPr>
            </w:r>
          </w:p>
          <w:p w:rsidR="00000000" w:rsidDel="00000000" w:rsidP="00000000" w:rsidRDefault="00000000" w:rsidRPr="00000000" w14:paraId="00000038">
            <w:pPr>
              <w:rPr>
                <w:rFonts w:ascii="Arial" w:cs="Arial" w:eastAsia="Arial" w:hAnsi="Arial"/>
                <w:sz w:val="19"/>
                <w:szCs w:val="19"/>
                <w:highlight w:val="white"/>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United Nations, Department of Economic and Social Affairs, Population Division (2019). World Population Prospects: The 2019 Revision, DVD Edition.</w:t>
            </w:r>
            <w:r w:rsidDel="00000000" w:rsidR="00000000" w:rsidRPr="00000000">
              <w:rPr>
                <w:rtl w:val="0"/>
              </w:rPr>
            </w:r>
          </w:p>
        </w:tc>
      </w:tr>
      <w:tr>
        <w:tc>
          <w:tcPr/>
          <w:p w:rsidR="00000000" w:rsidDel="00000000" w:rsidP="00000000" w:rsidRDefault="00000000" w:rsidRPr="00000000" w14:paraId="0000003A">
            <w:pPr>
              <w:rPr>
                <w:rFonts w:ascii="Arial" w:cs="Arial" w:eastAsia="Arial" w:hAnsi="Arial"/>
                <w:sz w:val="19"/>
                <w:szCs w:val="19"/>
                <w:highlight w:val="white"/>
              </w:rPr>
            </w:pPr>
            <w:hyperlink r:id="rId22">
              <w:r w:rsidDel="00000000" w:rsidR="00000000" w:rsidRPr="00000000">
                <w:rPr>
                  <w:rFonts w:ascii="Arial" w:cs="Arial" w:eastAsia="Arial" w:hAnsi="Arial"/>
                  <w:color w:val="1155cc"/>
                  <w:sz w:val="19"/>
                  <w:szCs w:val="19"/>
                  <w:u w:val="single"/>
                  <w:rtl w:val="0"/>
                </w:rPr>
                <w:t xml:space="preserve">Decrease in Malnutrition</w:t>
              </w:r>
            </w:hyperlink>
            <w:r w:rsidDel="00000000" w:rsidR="00000000" w:rsidRPr="00000000">
              <w:rPr>
                <w:rtl w:val="0"/>
              </w:rPr>
            </w:r>
          </w:p>
        </w:tc>
        <w:tc>
          <w:tcPr/>
          <w:p w:rsidR="00000000" w:rsidDel="00000000" w:rsidP="00000000" w:rsidRDefault="00000000" w:rsidRPr="00000000" w14:paraId="0000003B">
            <w:pPr>
              <w:rPr>
                <w:rFonts w:ascii="Arial" w:cs="Arial" w:eastAsia="Arial" w:hAnsi="Arial"/>
                <w:sz w:val="19"/>
                <w:szCs w:val="19"/>
                <w:highlight w:val="white"/>
              </w:rPr>
            </w:pPr>
            <w:r w:rsidDel="00000000" w:rsidR="00000000" w:rsidRPr="00000000">
              <w:rPr>
                <w:rFonts w:ascii="Arial" w:cs="Arial" w:eastAsia="Arial" w:hAnsi="Arial"/>
                <w:color w:val="666666"/>
                <w:sz w:val="19"/>
                <w:szCs w:val="19"/>
                <w:highlight w:val="white"/>
                <w:rtl w:val="0"/>
              </w:rPr>
              <w:t xml:space="preserve">Death rates from protein-energy malnutrition measured per 100,000 individuals across various age categories. Also shown is the total death rate across all ages (not age-standardized) and the </w:t>
            </w:r>
            <w:r w:rsidDel="00000000" w:rsidR="00000000" w:rsidRPr="00000000">
              <w:rPr>
                <w:rFonts w:ascii="Arial" w:cs="Arial" w:eastAsia="Arial" w:hAnsi="Arial"/>
                <w:color w:val="666666"/>
                <w:sz w:val="19"/>
                <w:szCs w:val="19"/>
                <w:highlight w:val="white"/>
                <w:u w:val="single"/>
                <w:rtl w:val="0"/>
              </w:rPr>
              <w:t xml:space="preserve">age-standardized death rate</w:t>
            </w:r>
            <w:r w:rsidDel="00000000" w:rsidR="00000000" w:rsidRPr="00000000">
              <w:rPr>
                <w:rFonts w:ascii="Arial" w:cs="Arial" w:eastAsia="Arial" w:hAnsi="Arial"/>
                <w:color w:val="666666"/>
                <w:sz w:val="19"/>
                <w:szCs w:val="19"/>
                <w:highlight w:val="white"/>
                <w:rtl w:val="0"/>
              </w:rPr>
              <w:t xml:space="preserve">. Age-standardization assumes a constant population age &amp; structure to allow for comparisons between countries and with time without the effects of a changing age distribution within a population (e.g. aging).</w:t>
            </w:r>
            <w:r w:rsidDel="00000000" w:rsidR="00000000" w:rsidRPr="00000000">
              <w:rPr>
                <w:rtl w:val="0"/>
              </w:rPr>
            </w:r>
          </w:p>
        </w:tc>
        <w:tc>
          <w:tcPr/>
          <w:p w:rsidR="00000000" w:rsidDel="00000000" w:rsidP="00000000" w:rsidRDefault="00000000" w:rsidRPr="00000000" w14:paraId="0000003C">
            <w:pPr>
              <w:rPr>
                <w:rFonts w:ascii="Arial" w:cs="Arial" w:eastAsia="Arial" w:hAnsi="Arial"/>
                <w:sz w:val="19"/>
                <w:szCs w:val="19"/>
              </w:rPr>
            </w:pPr>
            <w:r w:rsidDel="00000000" w:rsidR="00000000" w:rsidRPr="00000000">
              <w:rPr>
                <w:rFonts w:ascii="Arial" w:cs="Arial" w:eastAsia="Arial" w:hAnsi="Arial"/>
                <w:color w:val="333333"/>
                <w:sz w:val="19"/>
                <w:szCs w:val="19"/>
                <w:rtl w:val="0"/>
              </w:rPr>
              <w:t xml:space="preserve">Global Burden of Disease Study 2017 (GBD 2017)</w:t>
            </w:r>
            <w:r w:rsidDel="00000000" w:rsidR="00000000" w:rsidRPr="00000000">
              <w:rPr>
                <w:rtl w:val="0"/>
              </w:rPr>
            </w:r>
          </w:p>
        </w:tc>
      </w:tr>
      <w:tr>
        <w:tc>
          <w:tcPr/>
          <w:p w:rsidR="00000000" w:rsidDel="00000000" w:rsidP="00000000" w:rsidRDefault="00000000" w:rsidRPr="00000000" w14:paraId="0000003D">
            <w:pPr>
              <w:rPr>
                <w:rFonts w:ascii="Arial" w:cs="Arial" w:eastAsia="Arial" w:hAnsi="Arial"/>
                <w:sz w:val="19"/>
                <w:szCs w:val="19"/>
                <w:highlight w:val="white"/>
              </w:rPr>
            </w:pPr>
            <w:hyperlink r:id="rId23">
              <w:r w:rsidDel="00000000" w:rsidR="00000000" w:rsidRPr="00000000">
                <w:rPr>
                  <w:rFonts w:ascii="Arial" w:cs="Arial" w:eastAsia="Arial" w:hAnsi="Arial"/>
                  <w:color w:val="1155cc"/>
                  <w:sz w:val="19"/>
                  <w:szCs w:val="19"/>
                  <w:highlight w:val="white"/>
                  <w:u w:val="single"/>
                  <w:rtl w:val="0"/>
                </w:rPr>
                <w:t xml:space="preserve">Household Debt</w:t>
              </w:r>
            </w:hyperlink>
            <w:r w:rsidDel="00000000" w:rsidR="00000000" w:rsidRPr="00000000">
              <w:rPr>
                <w:rtl w:val="0"/>
              </w:rPr>
            </w:r>
          </w:p>
        </w:tc>
        <w:tc>
          <w:tcPr/>
          <w:p w:rsidR="00000000" w:rsidDel="00000000" w:rsidP="00000000" w:rsidRDefault="00000000" w:rsidRPr="00000000" w14:paraId="0000003E">
            <w:pPr>
              <w:rPr>
                <w:rFonts w:ascii="Arial" w:cs="Arial" w:eastAsia="Arial" w:hAnsi="Arial"/>
                <w:sz w:val="19"/>
                <w:szCs w:val="19"/>
                <w:highlight w:val="white"/>
              </w:rPr>
            </w:pPr>
            <w:r w:rsidDel="00000000" w:rsidR="00000000" w:rsidRPr="00000000">
              <w:rPr>
                <w:rFonts w:ascii="Arial" w:cs="Arial" w:eastAsia="Arial" w:hAnsi="Arial"/>
                <w:color w:val="494444"/>
                <w:sz w:val="21"/>
                <w:szCs w:val="21"/>
                <w:highlight w:val="white"/>
                <w:rtl w:val="0"/>
              </w:rPr>
              <w:t xml:space="preserve">Debt is calculated as the sum of the following liability categories: loans (primarily mortgage loans and consumer credit) and other accounts payable. </w:t>
            </w:r>
            <w:r w:rsidDel="00000000" w:rsidR="00000000" w:rsidRPr="00000000">
              <w:rPr>
                <w:rtl w:val="0"/>
              </w:rPr>
            </w:r>
          </w:p>
        </w:tc>
        <w:tc>
          <w:tcPr/>
          <w:p w:rsidR="00000000" w:rsidDel="00000000" w:rsidP="00000000" w:rsidRDefault="00000000" w:rsidRPr="00000000" w14:paraId="0000003F">
            <w:pPr>
              <w:rPr>
                <w:rFonts w:ascii="Arial" w:cs="Arial" w:eastAsia="Arial" w:hAnsi="Arial"/>
                <w:sz w:val="19"/>
                <w:szCs w:val="19"/>
              </w:rPr>
            </w:pPr>
            <w:r w:rsidDel="00000000" w:rsidR="00000000" w:rsidRPr="00000000">
              <w:rPr>
                <w:rFonts w:ascii="Arial" w:cs="Arial" w:eastAsia="Arial" w:hAnsi="Arial"/>
                <w:sz w:val="19"/>
                <w:szCs w:val="19"/>
                <w:rtl w:val="0"/>
              </w:rPr>
              <w:t xml:space="preserve">OECD (2021), Household debt (indicator). doi: 10.1787/f03b6469-en (Accessed on 22 June 2021)</w:t>
            </w:r>
            <w:r w:rsidDel="00000000" w:rsidR="00000000" w:rsidRPr="00000000">
              <w:rPr>
                <w:rtl w:val="0"/>
              </w:rPr>
            </w:r>
          </w:p>
        </w:tc>
      </w:tr>
      <w:tr>
        <w:trPr>
          <w:trHeight w:val="1589.6673583984375" w:hRule="atLeast"/>
        </w:trPr>
        <w:tc>
          <w:tcPr/>
          <w:p w:rsidR="00000000" w:rsidDel="00000000" w:rsidP="00000000" w:rsidRDefault="00000000" w:rsidRPr="00000000" w14:paraId="00000040">
            <w:pPr>
              <w:spacing w:after="160" w:line="259" w:lineRule="auto"/>
              <w:rPr>
                <w:rFonts w:ascii="Arial" w:cs="Arial" w:eastAsia="Arial" w:hAnsi="Arial"/>
                <w:sz w:val="19"/>
                <w:szCs w:val="19"/>
                <w:highlight w:val="white"/>
              </w:rPr>
            </w:pPr>
            <w:hyperlink r:id="rId24">
              <w:r w:rsidDel="00000000" w:rsidR="00000000" w:rsidRPr="00000000">
                <w:rPr>
                  <w:color w:val="1155cc"/>
                  <w:u w:val="single"/>
                  <w:rtl w:val="0"/>
                </w:rPr>
                <w:t xml:space="preserve">Labor Compensation</w:t>
              </w:r>
            </w:hyperlink>
            <w:r w:rsidDel="00000000" w:rsidR="00000000" w:rsidRPr="00000000">
              <w:rPr>
                <w:rtl w:val="0"/>
              </w:rPr>
            </w:r>
          </w:p>
        </w:tc>
        <w:tc>
          <w:tcPr/>
          <w:p w:rsidR="00000000" w:rsidDel="00000000" w:rsidP="00000000" w:rsidRDefault="00000000" w:rsidRPr="00000000" w14:paraId="00000041">
            <w:pPr>
              <w:rPr>
                <w:rFonts w:ascii="Arial" w:cs="Arial" w:eastAsia="Arial" w:hAnsi="Arial"/>
                <w:sz w:val="19"/>
                <w:szCs w:val="19"/>
                <w:highlight w:val="white"/>
              </w:rPr>
            </w:pPr>
            <w:r w:rsidDel="00000000" w:rsidR="00000000" w:rsidRPr="00000000">
              <w:rPr>
                <w:rFonts w:ascii="Arial" w:cs="Arial" w:eastAsia="Arial" w:hAnsi="Arial"/>
                <w:color w:val="494444"/>
                <w:sz w:val="21"/>
                <w:szCs w:val="21"/>
                <w:highlight w:val="white"/>
                <w:rtl w:val="0"/>
              </w:rPr>
              <w:t xml:space="preserve">Labour compensation per hour worked is defined as compensation of employees in national currency divided by total hours worked by employees. Compensation of employees is the sum of gross wages and salaries and employers' social security contributions. This indicator is measured in terms of annual growth rates and indices.</w:t>
            </w: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OECD (2021), Labour compensation per hour worked (indicator). doi: 10.1787/251ec2da-en (Accessed on 22 June 2021)</w:t>
            </w:r>
          </w:p>
        </w:tc>
      </w:tr>
      <w:tr>
        <w:tc>
          <w:tcPr/>
          <w:p w:rsidR="00000000" w:rsidDel="00000000" w:rsidP="00000000" w:rsidRDefault="00000000" w:rsidRPr="00000000" w14:paraId="00000043">
            <w:pPr>
              <w:rPr>
                <w:rFonts w:ascii="Arial" w:cs="Arial" w:eastAsia="Arial" w:hAnsi="Arial"/>
                <w:sz w:val="19"/>
                <w:szCs w:val="19"/>
                <w:highlight w:val="white"/>
              </w:rPr>
            </w:pPr>
            <w:hyperlink r:id="rId25">
              <w:r w:rsidDel="00000000" w:rsidR="00000000" w:rsidRPr="00000000">
                <w:rPr>
                  <w:rFonts w:ascii="Arial" w:cs="Arial" w:eastAsia="Arial" w:hAnsi="Arial"/>
                  <w:color w:val="1155cc"/>
                  <w:sz w:val="19"/>
                  <w:szCs w:val="19"/>
                  <w:highlight w:val="white"/>
                  <w:u w:val="single"/>
                  <w:rtl w:val="0"/>
                </w:rPr>
                <w:t xml:space="preserve">Road Accidents</w:t>
              </w:r>
            </w:hyperlink>
            <w:r w:rsidDel="00000000" w:rsidR="00000000" w:rsidRPr="00000000">
              <w:rPr>
                <w:rtl w:val="0"/>
              </w:rPr>
            </w:r>
          </w:p>
        </w:tc>
        <w:tc>
          <w:tcPr/>
          <w:p w:rsidR="00000000" w:rsidDel="00000000" w:rsidP="00000000" w:rsidRDefault="00000000" w:rsidRPr="00000000" w14:paraId="00000044">
            <w:pPr>
              <w:rPr>
                <w:rFonts w:ascii="Arial" w:cs="Arial" w:eastAsia="Arial" w:hAnsi="Arial"/>
                <w:sz w:val="19"/>
                <w:szCs w:val="19"/>
                <w:highlight w:val="white"/>
              </w:rPr>
            </w:pPr>
            <w:r w:rsidDel="00000000" w:rsidR="00000000" w:rsidRPr="00000000">
              <w:rPr>
                <w:rFonts w:ascii="Arial" w:cs="Arial" w:eastAsia="Arial" w:hAnsi="Arial"/>
                <w:color w:val="494444"/>
                <w:sz w:val="21"/>
                <w:szCs w:val="21"/>
                <w:highlight w:val="white"/>
                <w:rtl w:val="0"/>
              </w:rPr>
              <w:t xml:space="preserve">Road accidents are measured in terms of the number of persons injured and deaths due to road accidents, whether immediate or within 30 days of the accident, and excluding suicides involving the use of road motor vehicles.</w:t>
            </w:r>
            <w:r w:rsidDel="00000000" w:rsidR="00000000" w:rsidRPr="00000000">
              <w:rPr>
                <w:rtl w:val="0"/>
              </w:rPr>
            </w:r>
          </w:p>
        </w:tc>
        <w:tc>
          <w:tcPr/>
          <w:p w:rsidR="00000000" w:rsidDel="00000000" w:rsidP="00000000" w:rsidRDefault="00000000" w:rsidRPr="00000000" w14:paraId="00000045">
            <w:pPr>
              <w:rPr>
                <w:rFonts w:ascii="Arial" w:cs="Arial" w:eastAsia="Arial" w:hAnsi="Arial"/>
                <w:sz w:val="19"/>
                <w:szCs w:val="19"/>
              </w:rPr>
            </w:pPr>
            <w:r w:rsidDel="00000000" w:rsidR="00000000" w:rsidRPr="00000000">
              <w:rPr>
                <w:rFonts w:ascii="Arial" w:cs="Arial" w:eastAsia="Arial" w:hAnsi="Arial"/>
                <w:sz w:val="19"/>
                <w:szCs w:val="19"/>
                <w:rtl w:val="0"/>
              </w:rPr>
              <w:t xml:space="preserve">OECD (2021), Road accidents (indicator). doi: 10.1787/2fe1b899-en (Accessed on 22 June 2021)</w:t>
            </w:r>
          </w:p>
        </w:tc>
      </w:tr>
      <w:tr>
        <w:tc>
          <w:tcPr/>
          <w:p w:rsidR="00000000" w:rsidDel="00000000" w:rsidP="00000000" w:rsidRDefault="00000000" w:rsidRPr="00000000" w14:paraId="00000046">
            <w:pPr>
              <w:rPr>
                <w:rFonts w:ascii="Arial" w:cs="Arial" w:eastAsia="Arial" w:hAnsi="Arial"/>
                <w:sz w:val="19"/>
                <w:szCs w:val="19"/>
                <w:highlight w:val="white"/>
              </w:rPr>
            </w:pPr>
            <w:hyperlink r:id="rId26">
              <w:r w:rsidDel="00000000" w:rsidR="00000000" w:rsidRPr="00000000">
                <w:rPr>
                  <w:rFonts w:ascii="Arial" w:cs="Arial" w:eastAsia="Arial" w:hAnsi="Arial"/>
                  <w:color w:val="1155cc"/>
                  <w:sz w:val="19"/>
                  <w:szCs w:val="19"/>
                  <w:highlight w:val="white"/>
                  <w:u w:val="single"/>
                  <w:rtl w:val="0"/>
                </w:rPr>
                <w:t xml:space="preserve">Municipal Waste</w:t>
              </w:r>
            </w:hyperlink>
            <w:r w:rsidDel="00000000" w:rsidR="00000000" w:rsidRPr="00000000">
              <w:rPr>
                <w:rtl w:val="0"/>
              </w:rPr>
            </w:r>
          </w:p>
        </w:tc>
        <w:tc>
          <w:tcPr/>
          <w:p w:rsidR="00000000" w:rsidDel="00000000" w:rsidP="00000000" w:rsidRDefault="00000000" w:rsidRPr="00000000" w14:paraId="00000047">
            <w:pPr>
              <w:rPr>
                <w:rFonts w:ascii="Arial" w:cs="Arial" w:eastAsia="Arial" w:hAnsi="Arial"/>
                <w:sz w:val="19"/>
                <w:szCs w:val="19"/>
                <w:highlight w:val="white"/>
              </w:rPr>
            </w:pPr>
            <w:r w:rsidDel="00000000" w:rsidR="00000000" w:rsidRPr="00000000">
              <w:rPr>
                <w:rFonts w:ascii="Arial" w:cs="Arial" w:eastAsia="Arial" w:hAnsi="Arial"/>
                <w:color w:val="494444"/>
                <w:sz w:val="21"/>
                <w:szCs w:val="21"/>
                <w:highlight w:val="white"/>
                <w:rtl w:val="0"/>
              </w:rPr>
              <w:t xml:space="preserve">Municipal waste is defined as waste collected and treated by or for municipalities. It covers waste from households, including bulky waste, similar waste from commerce and trade, office buildings, institutions and small businesses, as well as yard and garden waste, street sweepings, the contents of litter containers, and market cleansing waste if managed as household waste. The definition excludes waste from municipal sewage networks and treatment, as well as waste from construction and demolition activities. This indicator is measured in thousand tonnes and in kilograms per capita.</w:t>
            </w:r>
            <w:r w:rsidDel="00000000" w:rsidR="00000000" w:rsidRPr="00000000">
              <w:rPr>
                <w:rtl w:val="0"/>
              </w:rPr>
            </w:r>
          </w:p>
        </w:tc>
        <w:tc>
          <w:tcPr/>
          <w:p w:rsidR="00000000" w:rsidDel="00000000" w:rsidP="00000000" w:rsidRDefault="00000000" w:rsidRPr="00000000" w14:paraId="00000048">
            <w:pPr>
              <w:rPr>
                <w:rFonts w:ascii="Arial" w:cs="Arial" w:eastAsia="Arial" w:hAnsi="Arial"/>
                <w:sz w:val="19"/>
                <w:szCs w:val="19"/>
              </w:rPr>
            </w:pPr>
            <w:r w:rsidDel="00000000" w:rsidR="00000000" w:rsidRPr="00000000">
              <w:rPr>
                <w:rFonts w:ascii="Arial" w:cs="Arial" w:eastAsia="Arial" w:hAnsi="Arial"/>
                <w:sz w:val="19"/>
                <w:szCs w:val="19"/>
                <w:rtl w:val="0"/>
              </w:rPr>
              <w:t xml:space="preserve">OECD (2021), Municipal waste (indicator). doi: 10.1787/89d5679a-en (Accessed on 22 June 2021)</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urworldindata.org/co2-emissions" TargetMode="External"/><Relationship Id="rId22" Type="http://schemas.openxmlformats.org/officeDocument/2006/relationships/hyperlink" Target="https://ourworldindata.org/grapher/malnutrition-death-rates-by-age" TargetMode="External"/><Relationship Id="rId21" Type="http://schemas.openxmlformats.org/officeDocument/2006/relationships/hyperlink" Target="https://ourworldindata.org/child-mortality" TargetMode="External"/><Relationship Id="rId24" Type="http://schemas.openxmlformats.org/officeDocument/2006/relationships/hyperlink" Target="https://data.oecd.org/lprdty/gdp-per-hour-worked.htm#indicator-chart" TargetMode="External"/><Relationship Id="rId23" Type="http://schemas.openxmlformats.org/officeDocument/2006/relationships/hyperlink" Target="https://data.oecd.org/hha/household-deb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cancer-incidence" TargetMode="External"/><Relationship Id="rId26" Type="http://schemas.openxmlformats.org/officeDocument/2006/relationships/hyperlink" Target="https://data.oecd.org/waste/municipal-waste.htm" TargetMode="External"/><Relationship Id="rId25" Type="http://schemas.openxmlformats.org/officeDocument/2006/relationships/hyperlink" Target="https://data.oecd.org/transport/road-accidents.htm" TargetMode="External"/><Relationship Id="rId5" Type="http://schemas.openxmlformats.org/officeDocument/2006/relationships/styles" Target="styles.xml"/><Relationship Id="rId6" Type="http://schemas.openxmlformats.org/officeDocument/2006/relationships/hyperlink" Target="https://ourworldindata.org/human-development-index" TargetMode="External"/><Relationship Id="rId7" Type="http://schemas.openxmlformats.org/officeDocument/2006/relationships/hyperlink" Target="https://ourworldindata.org/happiness-and-life-satisfaction" TargetMode="External"/><Relationship Id="rId8" Type="http://schemas.openxmlformats.org/officeDocument/2006/relationships/hyperlink" Target="https://ourworldindata.org/grapher/cancer-death-rates" TargetMode="External"/><Relationship Id="rId11" Type="http://schemas.openxmlformats.org/officeDocument/2006/relationships/hyperlink" Target="https://ourworldindata.org/life-expectancy" TargetMode="External"/><Relationship Id="rId10" Type="http://schemas.openxmlformats.org/officeDocument/2006/relationships/hyperlink" Target="https://ourworldindata.org/burden-of-disease" TargetMode="External"/><Relationship Id="rId13" Type="http://schemas.openxmlformats.org/officeDocument/2006/relationships/hyperlink" Target="https://ourworldindata.org/grapher/Deaths-caused-by-vaccine-preventable-diseases-over-time" TargetMode="External"/><Relationship Id="rId12" Type="http://schemas.openxmlformats.org/officeDocument/2006/relationships/hyperlink" Target="https://ourworldindata.org/grapher/death-rate-by-source-from-air-pollution" TargetMode="External"/><Relationship Id="rId15" Type="http://schemas.openxmlformats.org/officeDocument/2006/relationships/hyperlink" Target="https://ourworldindata.org/grapher/number-of-deaths-by-risk-factor" TargetMode="External"/><Relationship Id="rId14" Type="http://schemas.openxmlformats.org/officeDocument/2006/relationships/hyperlink" Target="https://ourworldindata.org/grapher/number-of-deaths-by-risk-factor" TargetMode="External"/><Relationship Id="rId17" Type="http://schemas.openxmlformats.org/officeDocument/2006/relationships/hyperlink" Target="https://ourworldindata.org/grapher/the-number-of-cases-of-infectious-diseases?country=~USA" TargetMode="External"/><Relationship Id="rId16" Type="http://schemas.openxmlformats.org/officeDocument/2006/relationships/hyperlink" Target="https://ourworldindata.org/suicide" TargetMode="External"/><Relationship Id="rId19" Type="http://schemas.openxmlformats.org/officeDocument/2006/relationships/hyperlink" Target="https://ourworldindata.org/economic-growth" TargetMode="External"/><Relationship Id="rId18" Type="http://schemas.openxmlformats.org/officeDocument/2006/relationships/hyperlink" Target="https://ourworldindata.org/grapher/the-number-of-cases-of-infectious-diseases?country=~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