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A10" w:rsidRPr="00EB1C44" w:rsidRDefault="00EB1C44" w:rsidP="00B61A10">
      <w:pPr>
        <w:rPr>
          <w:rFonts w:ascii="Times New Roman" w:hAnsi="Times New Roman" w:cs="Times New Roman"/>
          <w:b/>
          <w:sz w:val="26"/>
          <w:szCs w:val="26"/>
        </w:rPr>
      </w:pPr>
      <w:r w:rsidRPr="00EB1C44">
        <w:rPr>
          <w:rFonts w:ascii="Times New Roman" w:hAnsi="Times New Roman" w:cs="Times New Roman"/>
          <w:b/>
          <w:sz w:val="26"/>
          <w:szCs w:val="26"/>
        </w:rPr>
        <w:t>DEUX EXEMPLES D’</w:t>
      </w:r>
      <w:r w:rsidR="00B61A10" w:rsidRPr="00EB1C44">
        <w:rPr>
          <w:rFonts w:ascii="Times New Roman" w:hAnsi="Times New Roman" w:cs="Times New Roman"/>
          <w:b/>
          <w:sz w:val="26"/>
          <w:szCs w:val="26"/>
        </w:rPr>
        <w:t>APPLICATI</w:t>
      </w:r>
      <w:r w:rsidRPr="00EB1C44">
        <w:rPr>
          <w:rFonts w:ascii="Times New Roman" w:hAnsi="Times New Roman" w:cs="Times New Roman"/>
          <w:b/>
          <w:sz w:val="26"/>
          <w:szCs w:val="26"/>
        </w:rPr>
        <w:t>ON DE LA REGLES DES QUATRES YEUX</w:t>
      </w:r>
    </w:p>
    <w:p w:rsidR="00B61A10" w:rsidRDefault="00B61A10" w:rsidP="00B61A10">
      <w:pPr>
        <w:rPr>
          <w:rFonts w:ascii="Times New Roman" w:hAnsi="Times New Roman" w:cs="Times New Roman"/>
          <w:sz w:val="24"/>
          <w:szCs w:val="24"/>
        </w:rPr>
      </w:pPr>
    </w:p>
    <w:p w:rsidR="00EB1C44" w:rsidRDefault="00EB1C44" w:rsidP="00B61A10">
      <w:pPr>
        <w:rPr>
          <w:rFonts w:ascii="Times New Roman" w:hAnsi="Times New Roman" w:cs="Times New Roman"/>
          <w:sz w:val="24"/>
          <w:szCs w:val="24"/>
        </w:rPr>
      </w:pPr>
    </w:p>
    <w:p w:rsidR="00EB1C44" w:rsidRDefault="00EB1C44" w:rsidP="00EB1C4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le domain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 médicale</w:t>
      </w:r>
    </w:p>
    <w:p w:rsidR="00EB1C44" w:rsidRPr="00EB1C44" w:rsidRDefault="00EB1C44" w:rsidP="00EB1C44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624A29" w:rsidRPr="00B61A10" w:rsidRDefault="00B61A10" w:rsidP="00B61A10">
      <w:pPr>
        <w:rPr>
          <w:rFonts w:ascii="Times New Roman" w:hAnsi="Times New Roman" w:cs="Times New Roman"/>
          <w:sz w:val="24"/>
          <w:szCs w:val="24"/>
        </w:rPr>
      </w:pPr>
      <w:r w:rsidRPr="00B61A10">
        <w:rPr>
          <w:rFonts w:ascii="Times New Roman" w:hAnsi="Times New Roman" w:cs="Times New Roman"/>
          <w:sz w:val="24"/>
          <w:szCs w:val="24"/>
        </w:rPr>
        <w:t>Lorsqu’un médecin suspecte une maladie rare, son diagnostic doit être soumis à l’examen indépendant d’un second médecin.</w:t>
      </w:r>
    </w:p>
    <w:p w:rsidR="00B61A10" w:rsidRPr="00B61A10" w:rsidRDefault="00B61A10" w:rsidP="00B61A10">
      <w:pPr>
        <w:pStyle w:val="NormalWeb"/>
      </w:pPr>
      <w:r w:rsidRPr="00B61A10">
        <w:rPr>
          <w:rStyle w:val="lev"/>
        </w:rPr>
        <w:t>Premier médecin</w:t>
      </w:r>
      <w:r w:rsidRPr="00B61A10">
        <w:t xml:space="preserve"> : À partir des symptômes et des examens cliniques, il formule un diagnostic initial. Supposons qu’il suspecte une maladie rare, touchant seulement 0,01 % de la population mondiale.</w:t>
      </w:r>
    </w:p>
    <w:p w:rsidR="00B61A10" w:rsidRPr="00B61A10" w:rsidRDefault="00B61A10" w:rsidP="00B61A10">
      <w:pPr>
        <w:pStyle w:val="NormalWeb"/>
      </w:pPr>
      <w:r w:rsidRPr="00B61A10">
        <w:rPr>
          <w:rStyle w:val="lev"/>
        </w:rPr>
        <w:t>Second médecin</w:t>
      </w:r>
      <w:r w:rsidRPr="00B61A10">
        <w:t xml:space="preserve"> : Un collègue, également compétent, examine le patient et les résultats de manière autonome.</w:t>
      </w:r>
    </w:p>
    <w:p w:rsidR="00B61A10" w:rsidRDefault="00EB1C44" w:rsidP="00B61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EB1C44" w:rsidRDefault="00EB1C44" w:rsidP="00EB1C4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l’aviation</w:t>
      </w:r>
    </w:p>
    <w:p w:rsidR="00EB1C44" w:rsidRDefault="00EB1C44" w:rsidP="00EB1C44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EB1C44" w:rsidRPr="00EB1C44" w:rsidRDefault="00EB1C44" w:rsidP="00EB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1C44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un vol commercial, les calculs de masse et centrage (weight and balance) doivent être réalisés.</w:t>
      </w:r>
    </w:p>
    <w:p w:rsidR="00EB1C44" w:rsidRPr="00EB1C44" w:rsidRDefault="00EB1C44" w:rsidP="00EB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1C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EB1C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premier pilote</w:t>
      </w:r>
      <w:r w:rsidRPr="00EB1C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 la répartition des passagers, du carburant et des bagages pour déterminer le centrage de l’avion.</w:t>
      </w:r>
    </w:p>
    <w:p w:rsidR="00EB1C44" w:rsidRPr="00EB1C44" w:rsidRDefault="00EB1C44" w:rsidP="00EB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1C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EB1C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second pilote</w:t>
      </w:r>
      <w:r w:rsidRPr="00EB1C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refait exactement le même calcul, de manière indépendante, avec les mêmes données.</w:t>
      </w:r>
    </w:p>
    <w:p w:rsidR="00EB1C44" w:rsidRPr="00EB1C44" w:rsidRDefault="00EB1C44" w:rsidP="00EB1C44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sectPr w:rsidR="00EB1C44" w:rsidRPr="00EB1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535C3"/>
    <w:multiLevelType w:val="multilevel"/>
    <w:tmpl w:val="8E7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D23F4"/>
    <w:multiLevelType w:val="hybridMultilevel"/>
    <w:tmpl w:val="3BB8685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A10"/>
    <w:rsid w:val="00624A29"/>
    <w:rsid w:val="00B61A10"/>
    <w:rsid w:val="00EB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EB89A"/>
  <w15:chartTrackingRefBased/>
  <w15:docId w15:val="{E78C23DA-FD53-470E-AA4F-34DF3B03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61A10"/>
    <w:rPr>
      <w:b/>
      <w:bCs/>
    </w:rPr>
  </w:style>
  <w:style w:type="paragraph" w:styleId="Paragraphedeliste">
    <w:name w:val="List Paragraph"/>
    <w:basedOn w:val="Normal"/>
    <w:uiPriority w:val="34"/>
    <w:qFormat/>
    <w:rsid w:val="00EB1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AZIMUT</dc:creator>
  <cp:keywords/>
  <dc:description/>
  <cp:lastModifiedBy>AZIMUT</cp:lastModifiedBy>
  <cp:revision>1</cp:revision>
  <dcterms:created xsi:type="dcterms:W3CDTF">2026-03-23T13:30:00Z</dcterms:created>
  <dcterms:modified xsi:type="dcterms:W3CDTF">2026-03-23T13:49:00Z</dcterms:modified>
</cp:coreProperties>
</file>