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2.  Source: 2010/20100701/applicat.txt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3.  MAY OCCUR MORE THAN ONCE PER LISTING SEQ NO.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listing_seq_no: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1.  LISTING_SEQ_NO NOT NULL NUM(7) COL:1-7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2.  Linking field to LISTINGS.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appl_no: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1.  APPL_NO NULL CHAR(6) COL:9-14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2.  Number of New Drug Application if applicable.  If none has been provided by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firm then the value â€˜Otherâ€™ is used.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prod_no: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1.  PROD_NO NULL CHAR(3) COL:16-18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2.  Number used to identify the products of a New Drug Application.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obs:        80,532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vars:             3                          19 Nov 2015 09:19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size:     1,046,916                          (_dta has notes)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listing_seq_no  long    %12.0g              * FDA generated unique identification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                      number for each product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appl_no         str6    %9s                 * Number of New Drug Application if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applicable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prod_no         str3    %9s                 * Number used to identify the products of 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                    New Drug Application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Sorted by:  listing_seq_no  appl_no  prod_no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