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_dta: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1.  by Jean Roth , jroth@nber.org , 19 Nov 2015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2.  Source: 2010/20100701/FIRMS.TXT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3.  EACH FIRM HAS A UNIQUE FIRM SEQ NO WHICH CAN OCCUR MULTIPLE TIMES IN THE LISTINGS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4.  Contains the firm's full name, and compliance address.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5.  The compliance address is the mailing address where the FDA sends listing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information to the firm.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lblcode: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1.  LBLCODE NOT NULL NUM(6) COL:1-6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2.  FDA generated identification number for each firm.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3.  The number is padded to the left with zeroes to fill out to length 6.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firm_name: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1.  FIRM_NAME NOT NULL CHAR(65) COL:8-72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2.  Firm name as reported by the firm.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addr_header: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1.  ADDR_HEADER NULL CHAR(40) COL:74-113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2.  Address Heading as reported by the firm.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street: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1.  STREET NULL CHAR(40) COL:115-154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2.  Street Address as reported by firm.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po_box: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1.  PO_BOX NULL CHAR(9) COL:156-164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2.  Post office box number as reported by firm.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foreign_addr: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1.  FOREIGN_ADDR NULL CHAR(40) COL:166-205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2.  Address information report by firm for foreign countries that does not fit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U.S. Postal service configuration.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city: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1.  CITY NULL CHAR(30) COL:207-236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1.  STATE NULL CHAR(2) COL:238-239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zip: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1.  ZIP NULL CHAR(9) COL:241-249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2.  USPS Zip code.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province: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1.  PROVINCE NULL CHAR(30) COL:251-280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2.  Province of Foreign country if appropriate.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country_name: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1.  COUNTRY_NAME NOT NULL CHAR(40) COL:282-321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obs:         3,507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vars:            11                          19 Nov 2015 09:19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size:     1,090,677                          (_dta has notes)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storage   display    value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variable name   type    format     label      variable label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lblcode         str6    %9s                 * FDA generated identification number for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                        each firm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firm_name       str65   %65s                * Firm name as reported by the firm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addr_header     str40   %40s                * Address Heading as reported by the firm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street          str40   %40s                * Street Address as reported by firm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po_box          str9    %9s                 * Post office box number as reported by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                    firm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foreign_addr    str40   %40s                * Address information report by firm for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                      foreign countries that does not fit the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                    U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city            str30   %30s                * City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state           str2    %9s                 * State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zip             str9    %9s                 * USPS ZIP Code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province        str30   %30s                * Province of Foreign country if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                  appropriate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country_name    str40   %40s                * Country 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              * indicated variables have notes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Sorted by:  lblcode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