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_dta: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1.  by Jean Roth , jroth@nber.org , 19 Nov 2015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2.  Source: 2010/20100701/listings.TXT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3.  EACH PRODUCT HAS A UNIQUE LISTING SEQ NO; EACH FIRM SEQ NO CAN HAVE MULTIPLE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LISTING SEQ NO'S.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4.  Each line in this file represents a product for an individual firm.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5.  The listing includes such information as the product's name, firm's seq number,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dose form(s), and Rx/OTC.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listing_seq_no: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1.  LISTING_SEQ_NO NOT NULL NUM(7) COL: 1-7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2.  FDA generated unique identification number for each product.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lblcode: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1.  LBLCODE NOT NULL CHAR(6) COL: 9-14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2.  Labeler code portion of NDC; assigned by FDA to firm.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3.  The labeler code is the first segment of the National Drug Code.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4.  While always displayed as 6 digits in this file; for labeler codes 2 through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9999, some systems display it as 4 digits;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5.  for labeler codes 10,000 through 99,999 it is 5 digits.  Can be used to link to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the FIRMS.TXT file to obtain firm name.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prodcode: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1.  PRODCODE NOT NULL CHAR(4) COL: 16-19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2.  Product code assigned by firm.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3.  The prodcode is the second segment of the National Drug Code.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4.  It may be a 3-digit or 4-digit code depending upon the NDC configuration selected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by the firm.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strength: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1.  STRENGTH NULL CHAR(10) COL: 21-30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2.  For single entity products, this is the potency of the active ingredient.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3.  For combination products, it may be null or a number or combination of numbers,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e.g., Inderide 40/25.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unit: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1.  UNIT NULL CHAR(10) COL: 32-41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2.  Unit of measure corresponding to strength.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3.  This non-mandatory field contains the unit code for a single entity product,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e.g., MG, %VV.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rx_otc: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1.  RX_OTC NOT NULL CHAR(1) COL: 43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2.  Indicates whether product is labeled for Rx or OTC use (R/O).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tradename: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1.  TRADENAME NOT NULL CHAR(100) COL: 45-144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2.  Product's name as it appears on the labeling.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obs:        71,348                   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vars:             7                          19 Nov 2015 09:19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size:     9,631,980                          (_dta has notes)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storage   display    value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variable name   type    format     label      variable label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listing_seq_no  long    %12.0g              * FDA generated unique identification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                            number for each product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lblcode         str6    %9s                 * Labeler code portion of NDC; assigned by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                         FDA to firm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prodcode        str4    %9s                 * Product code assigned by firm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strength        str10   %10s                * For single entity products, this is the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                        potency of the active ingredient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unit            str10   %10s                * Unit of measure corresponding to strength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rx_otc          str1    %9s                 * Indicates whether product is labeled for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                         Rx or OTC use (R/O)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tradename       str100  %100s               * Product's name as it appears on the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                            labeling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                    * indicated variables have notes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Sorted by:  listing_seq_no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