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_dta: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1.  by Jean Roth , jroth@nber.org , 19 Nov 2015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2.  Source: 2010/20100701/packages.txt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3.  MAY OCCUR MULTIPLE TIMES PER LISTING SEQ NO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4.  Stores packages for an individual listing.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5.  The packages table includes all packages for a corresponding listing.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6.  The PKGCODE field contains the last one or two digit segment of the NDC.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listing_seq_no: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1.  LISTING_SEQ_NO NOT NULL NUM(7) COL: 1-7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2.  Linking field to LISTINGS.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pkgcode: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1.  PKGCODE NULL CHAR(2) COL: 9-10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2.  The package code portion of NDC code. The package code is the last segment of the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NDC.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packsize: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1.  PACKSIZE NOT NULL CHAR(25) COL: 12-36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2.  The unit or number of units which make up a package.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packtype: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1.  PACKTYPE NOT NULL CHAR(25) COL: 38-62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2.  Package type, i.e., box, bottle, vial, plastic, or glass.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obs:       172,259                      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vars:             4                          19 Nov 2015 09:19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size:     9,646,504                          (_dta has notes)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storage   display    value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variable name   type    format     label      variable label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listing_seq_no  long    %12.0g              * FDA generated unique identification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                             number for each product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pkgcode         str2    %9s                 * The package code portion of NDC code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packsize        str25   %25s                * The unit or number of units which make up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                            a package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packtype        str25   %25s                * Package type, i.e., box, bottle, vial,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                               plastic, or glass.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                          * indicated variables have notes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Sorted by:  listing_seq_no  pkgcode  packsize  packtype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