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2010/20100701/ROUTES.TXT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LISTING_SEQ_NO NOT NULL NUM(7) COL:1-7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4.  Linking field to LISTINGS.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route_code: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1.  ROUTE_CODE NULL CHAR(3) COL:9-11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2.  The code for the route of administration. File will allow all assigned values for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this element.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route_name: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1.  ROUTE_NAME NULL CHAR(240) COL:13-252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2.  The translation for the route of administration code.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obs:       100,347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vars:             3                          19 Nov 2015 09:19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size:    24,785,709                          (_dta has notes)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listing_seq_no  long    %12.0g                FDA generated unique identification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number for each product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route_code      str3    %9s                 * The code for the route of administration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route_name      str240  %240s               * The translation for the route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administration 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Sorted by:  listing_seq_no  route_code  route_name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