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_dta: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1.  by Jean Roth , jroth@nber.org , 19 Nov 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2.  Source: 2010/20100701/TBLROUTE.TXT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3.  THIS FILE CONTAINS A COMPLETE LIST OF THE ROUTE CODES USED IN THE DIRECTORY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route: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1.  ROUTE CHAR(3) COL:1-3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2.  The code for the ROUTE OF ADMINISTRATION.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translation: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1.  TRANSLATION CHAR(100) COL:5-104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2.  The translation for the ROUTE code.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obs:           166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vars:             2                          19 Nov 2015 09:20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size:        17,098                          (_dta has notes)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storage   display    value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variable name   type    format     label      variable label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route           str3    %9s                 * The code for the route of administration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translation     str100  %100s               * The translation for the ROUTE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* indicated variables have notes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Sorted by:  route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