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2010/20100701/TBLUNIT.TXT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THIS FILE CONTAINS A COMPLETE LIST OF THE POTENCY UNIT ABBREVIATIONS USED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DIRECTORY.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1.  UNIT CHAR(15) COL:1-15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  The potency unit abbreviations used in the directory.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translation: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1.  TRANSLATION CHAR(100) COL:17-115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2.  The translation for the UNIT abbreviations.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obs:            84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vars:             2                          19 Nov 2015 09:20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size:         9,240                          (_dta has notes)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unit            str10   %10s                * The potency unit abbreviations used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the directory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translation     str100  %100s               * The translation for the UNIT abbreviation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Sorted by:  unit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