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80C10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56"/>
                <w:szCs w:val="56"/>
              </w:rPr>
              <w:t xml:space="preserve">CERULEAN NEXT</w:t>
            </w:r>
          </w:p>
          <w:p>
            <w:pPr>
              <w:spacing w:before="0" w:after="160"/>
            </w:pPr>
            <w:r>
              <w:rPr>
                <w:rFonts w:ascii="Arial" w:cs="Arial" w:eastAsia="Arial" w:hAnsi="Arial"/>
                <w:color w:val="E8EDF2"/>
                <w:sz w:val="32"/>
                <w:szCs w:val="32"/>
              </w:rPr>
              <w:t xml:space="preserve">Product Specification &amp; User Stories</w:t>
            </w:r>
          </w:p>
          <w:p>
            <w:pPr>
              <w:spacing w:before="0" w:after="240"/>
            </w:pPr>
            <w:r>
              <w:rPr>
                <w:rFonts w:ascii="Arial" w:cs="Arial" w:eastAsia="Arial" w:hAnsi="Arial"/>
                <w:i/>
                <w:iCs/>
                <w:color w:val="8899AA"/>
                <w:sz w:val="22"/>
                <w:szCs w:val="22"/>
              </w:rPr>
              <w:t xml:space="preserve">How Cerulean Next serves migration engineers, library stakeholders, and BWS project managers — with system context and infrastructure diagrams.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b/>
                <w:bCs/>
                <w:color w:val="4A6A8A"/>
                <w:sz w:val="20"/>
                <w:szCs w:val="20"/>
              </w:rPr>
              <w:t xml:space="preserve">Audience:</w:t>
            </w:r>
            <w:r>
              <w:rPr>
                <w:rFonts w:ascii="Courier New" w:cs="Courier New" w:eastAsia="Courier New" w:hAnsi="Courier New"/>
                <w:color w:val="E8EDF2"/>
                <w:sz w:val="20"/>
                <w:szCs w:val="20"/>
              </w:rPr>
              <w:t xml:space="preserve">  Product Managers, Developers, Library Stakeholders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b/>
                <w:bCs/>
                <w:color w:val="4A6A8A"/>
                <w:sz w:val="20"/>
                <w:szCs w:val="20"/>
              </w:rPr>
              <w:t xml:space="preserve">Version:</w:t>
            </w:r>
            <w:r>
              <w:rPr>
                <w:rFonts w:ascii="Courier New" w:cs="Courier New" w:eastAsia="Courier New" w:hAnsi="Courier New"/>
                <w:color w:val="00BCD4"/>
                <w:sz w:val="20"/>
                <w:szCs w:val="20"/>
              </w:rPr>
              <w:t xml:space="preserve">  1.0.0-beta  ·  March 2026</w:t>
            </w:r>
          </w:p>
        </w:tc>
      </w:tr>
    </w:tbl>
    <w:p>
      <w:r>
        <w:br w:type="page"/>
      </w:r>
    </w:p>
    <w:p>
      <w:pPr>
        <w:pStyle w:val="Heading1"/>
        <w:spacing w:before="480" w:after="180"/>
      </w:pPr>
      <w:r>
        <w:rPr>
          <w:rFonts w:ascii="Arial" w:cs="Arial" w:eastAsia="Arial" w:hAnsi="Arial"/>
          <w:b/>
          <w:bCs/>
          <w:color w:val="00BCD4"/>
          <w:sz w:val="40"/>
          <w:szCs w:val="40"/>
        </w:rPr>
        <w:t xml:space="preserve">1. Personas</w:t>
      </w:r>
    </w:p>
    <w:p>
      <w:pPr>
        <w:spacing w:before="80" w:after="100" w:line="280"/>
      </w:pPr>
      <w:r>
        <w:rPr>
          <w:rFonts w:ascii="Arial" w:cs="Arial" w:eastAsia="Arial" w:hAnsi="Arial"/>
          <w:i w:val="false"/>
          <w:iCs w:val="false"/>
          <w:color w:val="2A3A4A"/>
          <w:sz w:val="22"/>
          <w:szCs w:val="22"/>
        </w:rPr>
        <w:t xml:space="preserve">Cerulean Next is designed for three distinct user groups. All three interact with the same web application but occupy different stages and have different goals.</w:t>
      </w:r>
    </w:p>
    <w:p>
      <w:pPr>
        <w:spacing w:before="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560"/>
      </w:tblGrid>
      <w:tr>
        <w:tc>
          <w:tcPr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0A192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BCD4"/>
                <w:sz w:val="22"/>
                <w:szCs w:val="22"/>
              </w:rPr>
              <w:t xml:space="preserve">Persona</w:t>
            </w:r>
          </w:p>
        </w:tc>
        <w:tc>
          <w:tcPr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0A192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BCD4"/>
                <w:sz w:val="22"/>
                <w:szCs w:val="22"/>
              </w:rPr>
              <w:t xml:space="preserve">Who They Are</w:t>
            </w:r>
          </w:p>
        </w:tc>
        <w:tc>
          <w:tcPr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0A192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BCD4"/>
                <w:sz w:val="22"/>
                <w:szCs w:val="22"/>
              </w:rPr>
              <w:t xml:space="preserve">Primary Goals</w:t>
            </w:r>
          </w:p>
        </w:tc>
      </w:tr>
      <w:tr>
        <w:tc>
          <w:tcPr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9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929"/>
                <w:sz w:val="22"/>
                <w:szCs w:val="22"/>
              </w:rPr>
              <w:t xml:space="preserve">🔧  Migration Engineer</w:t>
            </w:r>
          </w:p>
        </w:tc>
        <w:tc>
          <w:tcPr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7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A3A4A"/>
                <w:sz w:val="21"/>
                <w:szCs w:val="21"/>
              </w:rPr>
              <w:t xml:space="preserve">BWS technical staff responsible for executing the migration. Knows Koha internals, MARC formats, and legacy ILS export quirks.</w:t>
            </w:r>
          </w:p>
        </w:tc>
        <w:tc>
          <w:tcPr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7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A3A4A"/>
                <w:sz w:val="21"/>
                <w:szCs w:val="21"/>
              </w:rPr>
              <w:t xml:space="preserve">Clean data in, clean data out. Zero failures on go-live night. A traceable audit trail for every decision made.</w:t>
            </w:r>
          </w:p>
        </w:tc>
      </w:tr>
      <w:tr>
        <w:tc>
          <w:tcPr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9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929"/>
                <w:sz w:val="22"/>
                <w:szCs w:val="22"/>
              </w:rPr>
              <w:t xml:space="preserve">📚  Library Stakeholder</w:t>
            </w:r>
          </w:p>
        </w:tc>
        <w:tc>
          <w:tcPr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A3A4A"/>
                <w:sz w:val="21"/>
                <w:szCs w:val="21"/>
              </w:rPr>
              <w:t xml:space="preserve">Library director, IT manager, or lead cataloger at the migrating library. Not necessarily technical. Wants confidence before go-live.</w:t>
            </w:r>
          </w:p>
        </w:tc>
        <w:tc>
          <w:tcPr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A3A4A"/>
                <w:sz w:val="21"/>
                <w:szCs w:val="21"/>
              </w:rPr>
              <w:t xml:space="preserve">See their data in the new system before it goes live. Know that nothing was lost. Have a clear sign-off moment.</w:t>
            </w:r>
          </w:p>
        </w:tc>
      </w:tr>
      <w:tr>
        <w:tc>
          <w:tcPr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9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929"/>
                <w:sz w:val="22"/>
                <w:szCs w:val="22"/>
              </w:rPr>
              <w:t xml:space="preserve">📋  BWS Project Manager</w:t>
            </w:r>
          </w:p>
        </w:tc>
        <w:tc>
          <w:tcPr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7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A3A4A"/>
                <w:sz w:val="21"/>
                <w:szCs w:val="21"/>
              </w:rPr>
              <w:t xml:space="preserve">Internal BWS PM tracking migration projects across multiple libraries. Needs visibility into status without digging into technical details.</w:t>
            </w:r>
          </w:p>
        </w:tc>
        <w:tc>
          <w:tcPr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7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A3A4A"/>
                <w:sz w:val="21"/>
                <w:szCs w:val="21"/>
              </w:rPr>
              <w:t xml:space="preserve">Dashboard view of all active projects with stage status and any blockers. Know when a project is ready to schedule the go-live window.</w:t>
            </w:r>
          </w:p>
        </w:tc>
      </w:tr>
    </w:tbl>
    <w:p>
      <w:r>
        <w:br w:type="page"/>
      </w:r>
    </w:p>
    <w:p>
      <w:pPr>
        <w:pStyle w:val="Heading1"/>
        <w:spacing w:before="480" w:after="180"/>
      </w:pPr>
      <w:r>
        <w:rPr>
          <w:rFonts w:ascii="Arial" w:cs="Arial" w:eastAsia="Arial" w:hAnsi="Arial"/>
          <w:b/>
          <w:bCs/>
          <w:color w:val="00BCD4"/>
          <w:sz w:val="40"/>
          <w:szCs w:val="40"/>
        </w:rPr>
        <w:t xml:space="preserve">2. User Stories — Migration Engineer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A1929"/>
          <w:sz w:val="28"/>
          <w:szCs w:val="28"/>
        </w:rPr>
        <w:t xml:space="preserve">2.1 Data Ingest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680"/>
      </w:tblGrid>
      <w:tr>
        <w:tc>
          <w:tcPr>
            <w:tcW w:type="dxa" w:w="1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0A192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00BCD4"/>
                <w:sz w:val="20"/>
                <w:szCs w:val="20"/>
              </w:rPr>
              <w:t xml:space="preserve">🔧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8899AA"/>
                <w:sz w:val="18"/>
                <w:szCs w:val="18"/>
              </w:rPr>
              <w:t xml:space="preserve">Migration Engineer</w:t>
            </w:r>
          </w:p>
        </w:tc>
        <w:tc>
          <w:tcPr>
            <w:tcW w:type="dxa" w:w="868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7FB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color w:val="4A6A8A"/>
                <w:sz w:val="21"/>
                <w:szCs w:val="21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2A3A4A"/>
                <w:sz w:val="21"/>
                <w:szCs w:val="21"/>
              </w:rPr>
              <w:t xml:space="preserve">Migration Engineer, </w:t>
            </w:r>
            <w:r>
              <w:rPr>
                <w:rFonts w:ascii="Arial" w:cs="Arial" w:eastAsia="Arial" w:hAnsi="Arial"/>
                <w:color w:val="4A6A8A"/>
                <w:sz w:val="21"/>
                <w:szCs w:val="21"/>
              </w:rPr>
              <w:t xml:space="preserve">I want to </w:t>
            </w:r>
            <w:r>
              <w:rPr>
                <w:rFonts w:ascii="Arial" w:cs="Arial" w:eastAsia="Arial" w:hAnsi="Arial"/>
                <w:b/>
                <w:bCs/>
                <w:color w:val="0A3A5A"/>
                <w:sz w:val="21"/>
                <w:szCs w:val="21"/>
              </w:rPr>
              <w:t xml:space="preserve">upload multiple MARC files from different branches and have them all indexed automatically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A6A8A"/>
                <w:sz w:val="21"/>
                <w:szCs w:val="21"/>
              </w:rPr>
              <w:t xml:space="preserve">so that </w:t>
            </w:r>
            <w:r>
              <w:rPr>
                <w:rFonts w:ascii="Arial" w:cs="Arial" w:eastAsia="Arial" w:hAnsi="Arial"/>
                <w:i/>
                <w:iCs/>
                <w:color w:val="2E7D54"/>
                <w:sz w:val="21"/>
                <w:szCs w:val="21"/>
              </w:rPr>
              <w:t xml:space="preserve">I can work with the full dataset in one place without juggling local files.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680"/>
      </w:tblGrid>
      <w:tr>
        <w:tc>
          <w:tcPr>
            <w:tcW w:type="dxa" w:w="1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0A192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00BCD4"/>
                <w:sz w:val="20"/>
                <w:szCs w:val="20"/>
              </w:rPr>
              <w:t xml:space="preserve">🔧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8899AA"/>
                <w:sz w:val="18"/>
                <w:szCs w:val="18"/>
              </w:rPr>
              <w:t xml:space="preserve">Migration Engineer</w:t>
            </w:r>
          </w:p>
        </w:tc>
        <w:tc>
          <w:tcPr>
            <w:tcW w:type="dxa" w:w="868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7FB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color w:val="4A6A8A"/>
                <w:sz w:val="21"/>
                <w:szCs w:val="21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2A3A4A"/>
                <w:sz w:val="21"/>
                <w:szCs w:val="21"/>
              </w:rPr>
              <w:t xml:space="preserve">Migration Engineer, </w:t>
            </w:r>
            <w:r>
              <w:rPr>
                <w:rFonts w:ascii="Arial" w:cs="Arial" w:eastAsia="Arial" w:hAnsi="Arial"/>
                <w:color w:val="4A6A8A"/>
                <w:sz w:val="21"/>
                <w:szCs w:val="21"/>
              </w:rPr>
              <w:t xml:space="preserve">I want to </w:t>
            </w:r>
            <w:r>
              <w:rPr>
                <w:rFonts w:ascii="Arial" w:cs="Arial" w:eastAsia="Arial" w:hAnsi="Arial"/>
                <w:b/>
                <w:bCs/>
                <w:color w:val="0A3A5A"/>
                <w:sz w:val="21"/>
                <w:szCs w:val="21"/>
              </w:rPr>
              <w:t xml:space="preserve">see what ILS the data came from without having to guess from file names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A6A8A"/>
                <w:sz w:val="21"/>
                <w:szCs w:val="21"/>
              </w:rPr>
              <w:t xml:space="preserve">so that </w:t>
            </w:r>
            <w:r>
              <w:rPr>
                <w:rFonts w:ascii="Arial" w:cs="Arial" w:eastAsia="Arial" w:hAnsi="Arial"/>
                <w:i/>
                <w:iCs/>
                <w:color w:val="2E7D54"/>
                <w:sz w:val="21"/>
                <w:szCs w:val="21"/>
              </w:rPr>
              <w:t xml:space="preserve">I can confirm the source system early and apply the right field mapping strategy.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680"/>
      </w:tblGrid>
      <w:tr>
        <w:tc>
          <w:tcPr>
            <w:tcW w:type="dxa" w:w="1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0A192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00BCD4"/>
                <w:sz w:val="20"/>
                <w:szCs w:val="20"/>
              </w:rPr>
              <w:t xml:space="preserve">🔧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8899AA"/>
                <w:sz w:val="18"/>
                <w:szCs w:val="18"/>
              </w:rPr>
              <w:t xml:space="preserve">Migration Engineer</w:t>
            </w:r>
          </w:p>
        </w:tc>
        <w:tc>
          <w:tcPr>
            <w:tcW w:type="dxa" w:w="868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7FB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color w:val="4A6A8A"/>
                <w:sz w:val="21"/>
                <w:szCs w:val="21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2A3A4A"/>
                <w:sz w:val="21"/>
                <w:szCs w:val="21"/>
              </w:rPr>
              <w:t xml:space="preserve">Migration Engineer, </w:t>
            </w:r>
            <w:r>
              <w:rPr>
                <w:rFonts w:ascii="Arial" w:cs="Arial" w:eastAsia="Arial" w:hAnsi="Arial"/>
                <w:color w:val="4A6A8A"/>
                <w:sz w:val="21"/>
                <w:szCs w:val="21"/>
              </w:rPr>
              <w:t xml:space="preserve">I want to </w:t>
            </w:r>
            <w:r>
              <w:rPr>
                <w:rFonts w:ascii="Arial" w:cs="Arial" w:eastAsia="Arial" w:hAnsi="Arial"/>
                <w:b/>
                <w:bCs/>
                <w:color w:val="0A3A5A"/>
                <w:sz w:val="21"/>
                <w:szCs w:val="21"/>
              </w:rPr>
              <w:t xml:space="preserve">navigate to any specific record by number within any file — quickly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A6A8A"/>
                <w:sz w:val="21"/>
                <w:szCs w:val="21"/>
              </w:rPr>
              <w:t xml:space="preserve">so that </w:t>
            </w:r>
            <w:r>
              <w:rPr>
                <w:rFonts w:ascii="Arial" w:cs="Arial" w:eastAsia="Arial" w:hAnsi="Arial"/>
                <w:i/>
                <w:iCs/>
                <w:color w:val="2E7D54"/>
                <w:sz w:val="21"/>
                <w:szCs w:val="21"/>
              </w:rPr>
              <w:t xml:space="preserve">I can spot-check data quality without loading the whole file into a text editor.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A1929"/>
          <w:sz w:val="28"/>
          <w:szCs w:val="28"/>
        </w:rPr>
        <w:t xml:space="preserve">2.2 Field Mapping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680"/>
      </w:tblGrid>
      <w:tr>
        <w:tc>
          <w:tcPr>
            <w:tcW w:type="dxa" w:w="1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0A192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00BCD4"/>
                <w:sz w:val="20"/>
                <w:szCs w:val="20"/>
              </w:rPr>
              <w:t xml:space="preserve">🔧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8899AA"/>
                <w:sz w:val="18"/>
                <w:szCs w:val="18"/>
              </w:rPr>
              <w:t xml:space="preserve">Migration Engineer</w:t>
            </w:r>
          </w:p>
        </w:tc>
        <w:tc>
          <w:tcPr>
            <w:tcW w:type="dxa" w:w="868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7FB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color w:val="4A6A8A"/>
                <w:sz w:val="21"/>
                <w:szCs w:val="21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2A3A4A"/>
                <w:sz w:val="21"/>
                <w:szCs w:val="21"/>
              </w:rPr>
              <w:t xml:space="preserve">Migration Engineer, </w:t>
            </w:r>
            <w:r>
              <w:rPr>
                <w:rFonts w:ascii="Arial" w:cs="Arial" w:eastAsia="Arial" w:hAnsi="Arial"/>
                <w:color w:val="4A6A8A"/>
                <w:sz w:val="21"/>
                <w:szCs w:val="21"/>
              </w:rPr>
              <w:t xml:space="preserve">I want to </w:t>
            </w:r>
            <w:r>
              <w:rPr>
                <w:rFonts w:ascii="Arial" w:cs="Arial" w:eastAsia="Arial" w:hAnsi="Arial"/>
                <w:b/>
                <w:bCs/>
                <w:color w:val="0A3A5A"/>
                <w:sz w:val="21"/>
                <w:szCs w:val="21"/>
              </w:rPr>
              <w:t xml:space="preserve">create field maps manually without needing AI — from scratch or by loading an existing template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A6A8A"/>
                <w:sz w:val="21"/>
                <w:szCs w:val="21"/>
              </w:rPr>
              <w:t xml:space="preserve">so that </w:t>
            </w:r>
            <w:r>
              <w:rPr>
                <w:rFonts w:ascii="Arial" w:cs="Arial" w:eastAsia="Arial" w:hAnsi="Arial"/>
                <w:i/>
                <w:iCs/>
                <w:color w:val="2E7D54"/>
                <w:sz w:val="21"/>
                <w:szCs w:val="21"/>
              </w:rPr>
              <w:t xml:space="preserve">I have full control over the mapping for every project, regardless of whether AI suggestions are useful for that dataset.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680"/>
      </w:tblGrid>
      <w:tr>
        <w:tc>
          <w:tcPr>
            <w:tcW w:type="dxa" w:w="1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0A192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00BCD4"/>
                <w:sz w:val="20"/>
                <w:szCs w:val="20"/>
              </w:rPr>
              <w:t xml:space="preserve">🔧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8899AA"/>
                <w:sz w:val="18"/>
                <w:szCs w:val="18"/>
              </w:rPr>
              <w:t xml:space="preserve">Migration Engineer</w:t>
            </w:r>
          </w:p>
        </w:tc>
        <w:tc>
          <w:tcPr>
            <w:tcW w:type="dxa" w:w="868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7FB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color w:val="4A6A8A"/>
                <w:sz w:val="21"/>
                <w:szCs w:val="21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2A3A4A"/>
                <w:sz w:val="21"/>
                <w:szCs w:val="21"/>
              </w:rPr>
              <w:t xml:space="preserve">Migration Engineer, </w:t>
            </w:r>
            <w:r>
              <w:rPr>
                <w:rFonts w:ascii="Arial" w:cs="Arial" w:eastAsia="Arial" w:hAnsi="Arial"/>
                <w:color w:val="4A6A8A"/>
                <w:sz w:val="21"/>
                <w:szCs w:val="21"/>
              </w:rPr>
              <w:t xml:space="preserve">I want to </w:t>
            </w:r>
            <w:r>
              <w:rPr>
                <w:rFonts w:ascii="Arial" w:cs="Arial" w:eastAsia="Arial" w:hAnsi="Arial"/>
                <w:b/>
                <w:bCs/>
                <w:color w:val="0A3A5A"/>
                <w:sz w:val="21"/>
                <w:szCs w:val="21"/>
              </w:rPr>
              <w:t xml:space="preserve">get AI-suggested field mappings as a starting point, with confidence scores and plain-English reasoning for each suggestion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A6A8A"/>
                <w:sz w:val="21"/>
                <w:szCs w:val="21"/>
              </w:rPr>
              <w:t xml:space="preserve">so that </w:t>
            </w:r>
            <w:r>
              <w:rPr>
                <w:rFonts w:ascii="Arial" w:cs="Arial" w:eastAsia="Arial" w:hAnsi="Arial"/>
                <w:i/>
                <w:iCs/>
                <w:color w:val="2E7D54"/>
                <w:sz w:val="21"/>
                <w:szCs w:val="21"/>
              </w:rPr>
              <w:t xml:space="preserve">I can quickly accept what looks right, edit what is close, and discard what is wrong — rather than creating every map from scratch.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680"/>
      </w:tblGrid>
      <w:tr>
        <w:tc>
          <w:tcPr>
            <w:tcW w:type="dxa" w:w="1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0A192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00BCD4"/>
                <w:sz w:val="20"/>
                <w:szCs w:val="20"/>
              </w:rPr>
              <w:t xml:space="preserve">🔧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8899AA"/>
                <w:sz w:val="18"/>
                <w:szCs w:val="18"/>
              </w:rPr>
              <w:t xml:space="preserve">Migration Engineer</w:t>
            </w:r>
          </w:p>
        </w:tc>
        <w:tc>
          <w:tcPr>
            <w:tcW w:type="dxa" w:w="868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7FB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color w:val="4A6A8A"/>
                <w:sz w:val="21"/>
                <w:szCs w:val="21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2A3A4A"/>
                <w:sz w:val="21"/>
                <w:szCs w:val="21"/>
              </w:rPr>
              <w:t xml:space="preserve">Migration Engineer, </w:t>
            </w:r>
            <w:r>
              <w:rPr>
                <w:rFonts w:ascii="Arial" w:cs="Arial" w:eastAsia="Arial" w:hAnsi="Arial"/>
                <w:color w:val="4A6A8A"/>
                <w:sz w:val="21"/>
                <w:szCs w:val="21"/>
              </w:rPr>
              <w:t xml:space="preserve">I want to </w:t>
            </w:r>
            <w:r>
              <w:rPr>
                <w:rFonts w:ascii="Arial" w:cs="Arial" w:eastAsia="Arial" w:hAnsi="Arial"/>
                <w:b/>
                <w:bCs/>
                <w:color w:val="0A3A5A"/>
                <w:sz w:val="21"/>
                <w:szCs w:val="21"/>
              </w:rPr>
              <w:t xml:space="preserve">see AI suggestions on a separate tab, distinct from my approved maps, so I know exactly what I have reviewed and what I have not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A6A8A"/>
                <w:sz w:val="21"/>
                <w:szCs w:val="21"/>
              </w:rPr>
              <w:t xml:space="preserve">so that </w:t>
            </w:r>
            <w:r>
              <w:rPr>
                <w:rFonts w:ascii="Arial" w:cs="Arial" w:eastAsia="Arial" w:hAnsi="Arial"/>
                <w:i/>
                <w:iCs/>
                <w:color w:val="2E7D54"/>
                <w:sz w:val="21"/>
                <w:szCs w:val="21"/>
              </w:rPr>
              <w:t xml:space="preserve">I never accidentally ship an unreviewed AI suggestion to production.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680"/>
      </w:tblGrid>
      <w:tr>
        <w:tc>
          <w:tcPr>
            <w:tcW w:type="dxa" w:w="1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0A192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00BCD4"/>
                <w:sz w:val="20"/>
                <w:szCs w:val="20"/>
              </w:rPr>
              <w:t xml:space="preserve">🔧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8899AA"/>
                <w:sz w:val="18"/>
                <w:szCs w:val="18"/>
              </w:rPr>
              <w:t xml:space="preserve">Migration Engineer</w:t>
            </w:r>
          </w:p>
        </w:tc>
        <w:tc>
          <w:tcPr>
            <w:tcW w:type="dxa" w:w="868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7FB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color w:val="4A6A8A"/>
                <w:sz w:val="21"/>
                <w:szCs w:val="21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2A3A4A"/>
                <w:sz w:val="21"/>
                <w:szCs w:val="21"/>
              </w:rPr>
              <w:t xml:space="preserve">Migration Engineer, </w:t>
            </w:r>
            <w:r>
              <w:rPr>
                <w:rFonts w:ascii="Arial" w:cs="Arial" w:eastAsia="Arial" w:hAnsi="Arial"/>
                <w:color w:val="4A6A8A"/>
                <w:sz w:val="21"/>
                <w:szCs w:val="21"/>
              </w:rPr>
              <w:t xml:space="preserve">I want to </w:t>
            </w:r>
            <w:r>
              <w:rPr>
                <w:rFonts w:ascii="Arial" w:cs="Arial" w:eastAsia="Arial" w:hAnsi="Arial"/>
                <w:b/>
                <w:bCs/>
                <w:color w:val="0A3A5A"/>
                <w:sz w:val="21"/>
                <w:szCs w:val="21"/>
              </w:rPr>
              <w:t xml:space="preserve">save the current mapping set as a reusable template — either just for this project or shared with the whole BWS team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A6A8A"/>
                <w:sz w:val="21"/>
                <w:szCs w:val="21"/>
              </w:rPr>
              <w:t xml:space="preserve">so that </w:t>
            </w:r>
            <w:r>
              <w:rPr>
                <w:rFonts w:ascii="Arial" w:cs="Arial" w:eastAsia="Arial" w:hAnsi="Arial"/>
                <w:i/>
                <w:iCs/>
                <w:color w:val="2E7D54"/>
                <w:sz w:val="21"/>
                <w:szCs w:val="21"/>
              </w:rPr>
              <w:t xml:space="preserve">The work I do on one Symphony migration benefits every other Symphony migration that comes after it.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680"/>
      </w:tblGrid>
      <w:tr>
        <w:tc>
          <w:tcPr>
            <w:tcW w:type="dxa" w:w="1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0A192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00BCD4"/>
                <w:sz w:val="20"/>
                <w:szCs w:val="20"/>
              </w:rPr>
              <w:t xml:space="preserve">🔧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8899AA"/>
                <w:sz w:val="18"/>
                <w:szCs w:val="18"/>
              </w:rPr>
              <w:t xml:space="preserve">Migration Engineer</w:t>
            </w:r>
          </w:p>
        </w:tc>
        <w:tc>
          <w:tcPr>
            <w:tcW w:type="dxa" w:w="868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7FB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color w:val="4A6A8A"/>
                <w:sz w:val="21"/>
                <w:szCs w:val="21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2A3A4A"/>
                <w:sz w:val="21"/>
                <w:szCs w:val="21"/>
              </w:rPr>
              <w:t xml:space="preserve">Migration Engineer, </w:t>
            </w:r>
            <w:r>
              <w:rPr>
                <w:rFonts w:ascii="Arial" w:cs="Arial" w:eastAsia="Arial" w:hAnsi="Arial"/>
                <w:color w:val="4A6A8A"/>
                <w:sz w:val="21"/>
                <w:szCs w:val="21"/>
              </w:rPr>
              <w:t xml:space="preserve">I want to </w:t>
            </w:r>
            <w:r>
              <w:rPr>
                <w:rFonts w:ascii="Arial" w:cs="Arial" w:eastAsia="Arial" w:hAnsi="Arial"/>
                <w:b/>
                <w:bCs/>
                <w:color w:val="0A3A5A"/>
                <w:sz w:val="21"/>
                <w:szCs w:val="21"/>
              </w:rPr>
              <w:t xml:space="preserve">load a template mid-project in merge mode so new maps are added without overwriting maps I already approved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A6A8A"/>
                <w:sz w:val="21"/>
                <w:szCs w:val="21"/>
              </w:rPr>
              <w:t xml:space="preserve">so that </w:t>
            </w:r>
            <w:r>
              <w:rPr>
                <w:rFonts w:ascii="Arial" w:cs="Arial" w:eastAsia="Arial" w:hAnsi="Arial"/>
                <w:i/>
                <w:iCs/>
                <w:color w:val="2E7D54"/>
                <w:sz w:val="21"/>
                <w:szCs w:val="21"/>
              </w:rPr>
              <w:t xml:space="preserve">I can safely build on prior work without losing the project-specific adjustments I have already made.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680"/>
      </w:tblGrid>
      <w:tr>
        <w:tc>
          <w:tcPr>
            <w:tcW w:type="dxa" w:w="1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0A192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00BCD4"/>
                <w:sz w:val="20"/>
                <w:szCs w:val="20"/>
              </w:rPr>
              <w:t xml:space="preserve">🔧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8899AA"/>
                <w:sz w:val="18"/>
                <w:szCs w:val="18"/>
              </w:rPr>
              <w:t xml:space="preserve">Migration Engineer</w:t>
            </w:r>
          </w:p>
        </w:tc>
        <w:tc>
          <w:tcPr>
            <w:tcW w:type="dxa" w:w="868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7FB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color w:val="4A6A8A"/>
                <w:sz w:val="21"/>
                <w:szCs w:val="21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2A3A4A"/>
                <w:sz w:val="21"/>
                <w:szCs w:val="21"/>
              </w:rPr>
              <w:t xml:space="preserve">Migration Engineer, </w:t>
            </w:r>
            <w:r>
              <w:rPr>
                <w:rFonts w:ascii="Arial" w:cs="Arial" w:eastAsia="Arial" w:hAnsi="Arial"/>
                <w:color w:val="4A6A8A"/>
                <w:sz w:val="21"/>
                <w:szCs w:val="21"/>
              </w:rPr>
              <w:t xml:space="preserve">I want to </w:t>
            </w:r>
            <w:r>
              <w:rPr>
                <w:rFonts w:ascii="Arial" w:cs="Arial" w:eastAsia="Arial" w:hAnsi="Arial"/>
                <w:b/>
                <w:bCs/>
                <w:color w:val="0A3A5A"/>
                <w:sz w:val="21"/>
                <w:szCs w:val="21"/>
              </w:rPr>
              <w:t xml:space="preserve">see which maps came from manual entry, which came from AI suggestions, and which were loaded from a template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A6A8A"/>
                <w:sz w:val="21"/>
                <w:szCs w:val="21"/>
              </w:rPr>
              <w:t xml:space="preserve">so that </w:t>
            </w:r>
            <w:r>
              <w:rPr>
                <w:rFonts w:ascii="Arial" w:cs="Arial" w:eastAsia="Arial" w:hAnsi="Arial"/>
                <w:i/>
                <w:iCs/>
                <w:color w:val="2E7D54"/>
                <w:sz w:val="21"/>
                <w:szCs w:val="21"/>
              </w:rPr>
              <w:t xml:space="preserve">I can trace the origin of every mapping decision for QA or client questions.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680"/>
      </w:tblGrid>
      <w:tr>
        <w:tc>
          <w:tcPr>
            <w:tcW w:type="dxa" w:w="1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0A192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00BCD4"/>
                <w:sz w:val="20"/>
                <w:szCs w:val="20"/>
              </w:rPr>
              <w:t xml:space="preserve">🔧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8899AA"/>
                <w:sz w:val="18"/>
                <w:szCs w:val="18"/>
              </w:rPr>
              <w:t xml:space="preserve">Migration Engineer</w:t>
            </w:r>
          </w:p>
        </w:tc>
        <w:tc>
          <w:tcPr>
            <w:tcW w:type="dxa" w:w="868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7FB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color w:val="4A6A8A"/>
                <w:sz w:val="21"/>
                <w:szCs w:val="21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2A3A4A"/>
                <w:sz w:val="21"/>
                <w:szCs w:val="21"/>
              </w:rPr>
              <w:t xml:space="preserve">Migration Engineer, </w:t>
            </w:r>
            <w:r>
              <w:rPr>
                <w:rFonts w:ascii="Arial" w:cs="Arial" w:eastAsia="Arial" w:hAnsi="Arial"/>
                <w:color w:val="4A6A8A"/>
                <w:sz w:val="21"/>
                <w:szCs w:val="21"/>
              </w:rPr>
              <w:t xml:space="preserve">I want to </w:t>
            </w:r>
            <w:r>
              <w:rPr>
                <w:rFonts w:ascii="Arial" w:cs="Arial" w:eastAsia="Arial" w:hAnsi="Arial"/>
                <w:b/>
                <w:bCs/>
                <w:color w:val="0A3A5A"/>
                <w:sz w:val="21"/>
                <w:szCs w:val="21"/>
              </w:rPr>
              <w:t xml:space="preserve">view two MARC records side-by-side with differences highlighted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A6A8A"/>
                <w:sz w:val="21"/>
                <w:szCs w:val="21"/>
              </w:rPr>
              <w:t xml:space="preserve">so that </w:t>
            </w:r>
            <w:r>
              <w:rPr>
                <w:rFonts w:ascii="Arial" w:cs="Arial" w:eastAsia="Arial" w:hAnsi="Arial"/>
                <w:i/>
                <w:iCs/>
                <w:color w:val="2E7D54"/>
                <w:sz w:val="21"/>
                <w:szCs w:val="21"/>
              </w:rPr>
              <w:t xml:space="preserve">I can quickly validate that records from different files are actually duplicates before deciding which to keep.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A1929"/>
          <w:sz w:val="28"/>
          <w:szCs w:val="28"/>
        </w:rPr>
        <w:t xml:space="preserve">2.3 Deduplication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680"/>
      </w:tblGrid>
      <w:tr>
        <w:tc>
          <w:tcPr>
            <w:tcW w:type="dxa" w:w="1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0A192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00BCD4"/>
                <w:sz w:val="20"/>
                <w:szCs w:val="20"/>
              </w:rPr>
              <w:t xml:space="preserve">🔧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8899AA"/>
                <w:sz w:val="18"/>
                <w:szCs w:val="18"/>
              </w:rPr>
              <w:t xml:space="preserve">Migration Engineer</w:t>
            </w:r>
          </w:p>
        </w:tc>
        <w:tc>
          <w:tcPr>
            <w:tcW w:type="dxa" w:w="868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7FB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color w:val="4A6A8A"/>
                <w:sz w:val="21"/>
                <w:szCs w:val="21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2A3A4A"/>
                <w:sz w:val="21"/>
                <w:szCs w:val="21"/>
              </w:rPr>
              <w:t xml:space="preserve">Migration Engineer, </w:t>
            </w:r>
            <w:r>
              <w:rPr>
                <w:rFonts w:ascii="Arial" w:cs="Arial" w:eastAsia="Arial" w:hAnsi="Arial"/>
                <w:color w:val="4A6A8A"/>
                <w:sz w:val="21"/>
                <w:szCs w:val="21"/>
              </w:rPr>
              <w:t xml:space="preserve">I want to </w:t>
            </w:r>
            <w:r>
              <w:rPr>
                <w:rFonts w:ascii="Arial" w:cs="Arial" w:eastAsia="Arial" w:hAnsi="Arial"/>
                <w:b/>
                <w:bCs/>
                <w:color w:val="0A3A5A"/>
                <w:sz w:val="21"/>
                <w:szCs w:val="21"/>
              </w:rPr>
              <w:t xml:space="preserve">choose a deduplication rule preset or build a custom one with any combination of MARC fields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A6A8A"/>
                <w:sz w:val="21"/>
                <w:szCs w:val="21"/>
              </w:rPr>
              <w:t xml:space="preserve">so that </w:t>
            </w:r>
            <w:r>
              <w:rPr>
                <w:rFonts w:ascii="Arial" w:cs="Arial" w:eastAsia="Arial" w:hAnsi="Arial"/>
                <w:i/>
                <w:iCs/>
                <w:color w:val="2E7D54"/>
                <w:sz w:val="21"/>
                <w:szCs w:val="21"/>
              </w:rPr>
              <w:t xml:space="preserve">I can match the dedup strategy to the specific characteristics of each library's dataset.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680"/>
      </w:tblGrid>
      <w:tr>
        <w:tc>
          <w:tcPr>
            <w:tcW w:type="dxa" w:w="1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0A192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00BCD4"/>
                <w:sz w:val="20"/>
                <w:szCs w:val="20"/>
              </w:rPr>
              <w:t xml:space="preserve">🔧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8899AA"/>
                <w:sz w:val="18"/>
                <w:szCs w:val="18"/>
              </w:rPr>
              <w:t xml:space="preserve">Migration Engineer</w:t>
            </w:r>
          </w:p>
        </w:tc>
        <w:tc>
          <w:tcPr>
            <w:tcW w:type="dxa" w:w="868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7FB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color w:val="4A6A8A"/>
                <w:sz w:val="21"/>
                <w:szCs w:val="21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2A3A4A"/>
                <w:sz w:val="21"/>
                <w:szCs w:val="21"/>
              </w:rPr>
              <w:t xml:space="preserve">Migration Engineer, </w:t>
            </w:r>
            <w:r>
              <w:rPr>
                <w:rFonts w:ascii="Arial" w:cs="Arial" w:eastAsia="Arial" w:hAnsi="Arial"/>
                <w:color w:val="4A6A8A"/>
                <w:sz w:val="21"/>
                <w:szCs w:val="21"/>
              </w:rPr>
              <w:t xml:space="preserve">I want to </w:t>
            </w:r>
            <w:r>
              <w:rPr>
                <w:rFonts w:ascii="Arial" w:cs="Arial" w:eastAsia="Arial" w:hAnsi="Arial"/>
                <w:b/>
                <w:bCs/>
                <w:color w:val="0A3A5A"/>
                <w:sz w:val="21"/>
                <w:szCs w:val="21"/>
              </w:rPr>
              <w:t xml:space="preserve">review duplicate clusters with one-click "make primary" controls before applying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A6A8A"/>
                <w:sz w:val="21"/>
                <w:szCs w:val="21"/>
              </w:rPr>
              <w:t xml:space="preserve">so that </w:t>
            </w:r>
            <w:r>
              <w:rPr>
                <w:rFonts w:ascii="Arial" w:cs="Arial" w:eastAsia="Arial" w:hAnsi="Arial"/>
                <w:i/>
                <w:iCs/>
                <w:color w:val="2E7D54"/>
                <w:sz w:val="21"/>
                <w:szCs w:val="21"/>
              </w:rPr>
              <w:t xml:space="preserve">I never silently discard records — every dedup decision is visible and reversible.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A1929"/>
          <w:sz w:val="28"/>
          <w:szCs w:val="28"/>
        </w:rPr>
        <w:t xml:space="preserve">2.4 Push to Koha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680"/>
      </w:tblGrid>
      <w:tr>
        <w:tc>
          <w:tcPr>
            <w:tcW w:type="dxa" w:w="1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0A192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00BCD4"/>
                <w:sz w:val="20"/>
                <w:szCs w:val="20"/>
              </w:rPr>
              <w:t xml:space="preserve">🔧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8899AA"/>
                <w:sz w:val="18"/>
                <w:szCs w:val="18"/>
              </w:rPr>
              <w:t xml:space="preserve">Migration Engineer</w:t>
            </w:r>
          </w:p>
        </w:tc>
        <w:tc>
          <w:tcPr>
            <w:tcW w:type="dxa" w:w="868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color w:val="4A6A8A"/>
                <w:sz w:val="21"/>
                <w:szCs w:val="21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2A3A4A"/>
                <w:sz w:val="21"/>
                <w:szCs w:val="21"/>
              </w:rPr>
              <w:t xml:space="preserve">Migration Engineer, </w:t>
            </w:r>
            <w:r>
              <w:rPr>
                <w:rFonts w:ascii="Arial" w:cs="Arial" w:eastAsia="Arial" w:hAnsi="Arial"/>
                <w:color w:val="4A6A8A"/>
                <w:sz w:val="21"/>
                <w:szCs w:val="21"/>
              </w:rPr>
              <w:t xml:space="preserve">I want to </w:t>
            </w:r>
            <w:r>
              <w:rPr>
                <w:rFonts w:ascii="Arial" w:cs="Arial" w:eastAsia="Arial" w:hAnsi="Arial"/>
                <w:b/>
                <w:bCs/>
                <w:color w:val="0A3A5A"/>
                <w:sz w:val="21"/>
                <w:szCs w:val="21"/>
              </w:rPr>
              <w:t xml:space="preserve">have bulkmarcimport.pl selected as the default ingest method with the correct ES reindex command pre-configured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A6A8A"/>
                <w:sz w:val="21"/>
                <w:szCs w:val="21"/>
              </w:rPr>
              <w:t xml:space="preserve">so that </w:t>
            </w:r>
            <w:r>
              <w:rPr>
                <w:rFonts w:ascii="Arial" w:cs="Arial" w:eastAsia="Arial" w:hAnsi="Arial"/>
                <w:i/>
                <w:iCs/>
                <w:color w:val="2E7D54"/>
                <w:sz w:val="21"/>
                <w:szCs w:val="21"/>
              </w:rPr>
              <w:t xml:space="preserve">I don't have to remember the --noidx flag or the correct koha-elasticsearch syntax on every migration.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680"/>
      </w:tblGrid>
      <w:tr>
        <w:tc>
          <w:tcPr>
            <w:tcW w:type="dxa" w:w="1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0A192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00BCD4"/>
                <w:sz w:val="20"/>
                <w:szCs w:val="20"/>
              </w:rPr>
              <w:t xml:space="preserve">🔧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8899AA"/>
                <w:sz w:val="18"/>
                <w:szCs w:val="18"/>
              </w:rPr>
              <w:t xml:space="preserve">Migration Engineer</w:t>
            </w:r>
          </w:p>
        </w:tc>
        <w:tc>
          <w:tcPr>
            <w:tcW w:type="dxa" w:w="868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7FB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color w:val="4A6A8A"/>
                <w:sz w:val="21"/>
                <w:szCs w:val="21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2A3A4A"/>
                <w:sz w:val="21"/>
                <w:szCs w:val="21"/>
              </w:rPr>
              <w:t xml:space="preserve">Migration Engineer, </w:t>
            </w:r>
            <w:r>
              <w:rPr>
                <w:rFonts w:ascii="Arial" w:cs="Arial" w:eastAsia="Arial" w:hAnsi="Arial"/>
                <w:color w:val="4A6A8A"/>
                <w:sz w:val="21"/>
                <w:szCs w:val="21"/>
              </w:rPr>
              <w:t xml:space="preserve">I want to </w:t>
            </w:r>
            <w:r>
              <w:rPr>
                <w:rFonts w:ascii="Arial" w:cs="Arial" w:eastAsia="Arial" w:hAnsi="Arial"/>
                <w:b/>
                <w:bCs/>
                <w:color w:val="0A3A5A"/>
                <w:sz w:val="21"/>
                <w:szCs w:val="21"/>
              </w:rPr>
              <w:t xml:space="preserve">run a full dry-run of the push before committing any data to Koha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A6A8A"/>
                <w:sz w:val="21"/>
                <w:szCs w:val="21"/>
              </w:rPr>
              <w:t xml:space="preserve">so that </w:t>
            </w:r>
            <w:r>
              <w:rPr>
                <w:rFonts w:ascii="Arial" w:cs="Arial" w:eastAsia="Arial" w:hAnsi="Arial"/>
                <w:i/>
                <w:iCs/>
                <w:color w:val="2E7D54"/>
                <w:sz w:val="21"/>
                <w:szCs w:val="21"/>
              </w:rPr>
              <w:t xml:space="preserve">I can catch framework mismatches, missing item types, and invalid barcodes before they cause a failed go-live.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680"/>
      </w:tblGrid>
      <w:tr>
        <w:tc>
          <w:tcPr>
            <w:tcW w:type="dxa" w:w="1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0A192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00BCD4"/>
                <w:sz w:val="20"/>
                <w:szCs w:val="20"/>
              </w:rPr>
              <w:t xml:space="preserve">🔧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8899AA"/>
                <w:sz w:val="18"/>
                <w:szCs w:val="18"/>
              </w:rPr>
              <w:t xml:space="preserve">Migration Engineer</w:t>
            </w:r>
          </w:p>
        </w:tc>
        <w:tc>
          <w:tcPr>
            <w:tcW w:type="dxa" w:w="868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7FB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color w:val="4A6A8A"/>
                <w:sz w:val="21"/>
                <w:szCs w:val="21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2A3A4A"/>
                <w:sz w:val="21"/>
                <w:szCs w:val="21"/>
              </w:rPr>
              <w:t xml:space="preserve">Migration Engineer, </w:t>
            </w:r>
            <w:r>
              <w:rPr>
                <w:rFonts w:ascii="Arial" w:cs="Arial" w:eastAsia="Arial" w:hAnsi="Arial"/>
                <w:color w:val="4A6A8A"/>
                <w:sz w:val="21"/>
                <w:szCs w:val="21"/>
              </w:rPr>
              <w:t xml:space="preserve">I want to </w:t>
            </w:r>
            <w:r>
              <w:rPr>
                <w:rFonts w:ascii="Arial" w:cs="Arial" w:eastAsia="Arial" w:hAnsi="Arial"/>
                <w:b/>
                <w:bCs/>
                <w:color w:val="0A3A5A"/>
                <w:sz w:val="21"/>
                <w:szCs w:val="21"/>
              </w:rPr>
              <w:t xml:space="preserve">see a live scrolling log of every record processed during the push with clear ok / warn / error colour coding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A6A8A"/>
                <w:sz w:val="21"/>
                <w:szCs w:val="21"/>
              </w:rPr>
              <w:t xml:space="preserve">so that </w:t>
            </w:r>
            <w:r>
              <w:rPr>
                <w:rFonts w:ascii="Arial" w:cs="Arial" w:eastAsia="Arial" w:hAnsi="Arial"/>
                <w:i/>
                <w:iCs/>
                <w:color w:val="2E7D54"/>
                <w:sz w:val="21"/>
                <w:szCs w:val="21"/>
              </w:rPr>
              <w:t xml:space="preserve">I know exactly what is happening and can intervene immediately if something goes wrong.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A1929"/>
          <w:sz w:val="28"/>
          <w:szCs w:val="28"/>
        </w:rPr>
        <w:t xml:space="preserve">2.5 Project Audit Log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680"/>
      </w:tblGrid>
      <w:tr>
        <w:tc>
          <w:tcPr>
            <w:tcW w:type="dxa" w:w="1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0A192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00BCD4"/>
                <w:sz w:val="20"/>
                <w:szCs w:val="20"/>
              </w:rPr>
              <w:t xml:space="preserve">🔧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8899AA"/>
                <w:sz w:val="18"/>
                <w:szCs w:val="18"/>
              </w:rPr>
              <w:t xml:space="preserve">Migration Engineer</w:t>
            </w:r>
          </w:p>
        </w:tc>
        <w:tc>
          <w:tcPr>
            <w:tcW w:type="dxa" w:w="868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7FB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color w:val="4A6A8A"/>
                <w:sz w:val="21"/>
                <w:szCs w:val="21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2A3A4A"/>
                <w:sz w:val="21"/>
                <w:szCs w:val="21"/>
              </w:rPr>
              <w:t xml:space="preserve">Migration Engineer, </w:t>
            </w:r>
            <w:r>
              <w:rPr>
                <w:rFonts w:ascii="Arial" w:cs="Arial" w:eastAsia="Arial" w:hAnsi="Arial"/>
                <w:color w:val="4A6A8A"/>
                <w:sz w:val="21"/>
                <w:szCs w:val="21"/>
              </w:rPr>
              <w:t xml:space="preserve">I want to </w:t>
            </w:r>
            <w:r>
              <w:rPr>
                <w:rFonts w:ascii="Arial" w:cs="Arial" w:eastAsia="Arial" w:hAnsi="Arial"/>
                <w:b/>
                <w:bCs/>
                <w:color w:val="0A3A5A"/>
                <w:sz w:val="21"/>
                <w:szCs w:val="21"/>
              </w:rPr>
              <w:t xml:space="preserve">see a complete, filterable history of every action taken on a project — ingest, mapping decisions, dedup results, push events — in one place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A6A8A"/>
                <w:sz w:val="21"/>
                <w:szCs w:val="21"/>
              </w:rPr>
              <w:t xml:space="preserve">so that </w:t>
            </w:r>
            <w:r>
              <w:rPr>
                <w:rFonts w:ascii="Arial" w:cs="Arial" w:eastAsia="Arial" w:hAnsi="Arial"/>
                <w:i/>
                <w:iCs/>
                <w:color w:val="2E7D54"/>
                <w:sz w:val="21"/>
                <w:szCs w:val="21"/>
              </w:rPr>
              <w:t xml:space="preserve">I can answer any client question about what happened to their data without digging through Celery logs or my own notes.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680"/>
      </w:tblGrid>
      <w:tr>
        <w:tc>
          <w:tcPr>
            <w:tcW w:type="dxa" w:w="1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0A192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00BCD4"/>
                <w:sz w:val="20"/>
                <w:szCs w:val="20"/>
              </w:rPr>
              <w:t xml:space="preserve">🔧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8899AA"/>
                <w:sz w:val="18"/>
                <w:szCs w:val="18"/>
              </w:rPr>
              <w:t xml:space="preserve">Migration Engineer</w:t>
            </w:r>
          </w:p>
        </w:tc>
        <w:tc>
          <w:tcPr>
            <w:tcW w:type="dxa" w:w="868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7FB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color w:val="4A6A8A"/>
                <w:sz w:val="21"/>
                <w:szCs w:val="21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2A3A4A"/>
                <w:sz w:val="21"/>
                <w:szCs w:val="21"/>
              </w:rPr>
              <w:t xml:space="preserve">Migration Engineer, </w:t>
            </w:r>
            <w:r>
              <w:rPr>
                <w:rFonts w:ascii="Arial" w:cs="Arial" w:eastAsia="Arial" w:hAnsi="Arial"/>
                <w:color w:val="4A6A8A"/>
                <w:sz w:val="21"/>
                <w:szCs w:val="21"/>
              </w:rPr>
              <w:t xml:space="preserve">I want to </w:t>
            </w:r>
            <w:r>
              <w:rPr>
                <w:rFonts w:ascii="Arial" w:cs="Arial" w:eastAsia="Arial" w:hAnsi="Arial"/>
                <w:b/>
                <w:bCs/>
                <w:color w:val="0A3A5A"/>
                <w:sz w:val="21"/>
                <w:szCs w:val="21"/>
              </w:rPr>
              <w:t xml:space="preserve">filter the project log by stage and severity so I can quickly find the warnings from Stage 2 without scrolling through thousands of info lines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A6A8A"/>
                <w:sz w:val="21"/>
                <w:szCs w:val="21"/>
              </w:rPr>
              <w:t xml:space="preserve">so that </w:t>
            </w:r>
            <w:r>
              <w:rPr>
                <w:rFonts w:ascii="Arial" w:cs="Arial" w:eastAsia="Arial" w:hAnsi="Arial"/>
                <w:i/>
                <w:iCs/>
                <w:color w:val="2E7D54"/>
                <w:sz w:val="21"/>
                <w:szCs w:val="21"/>
              </w:rPr>
              <w:t xml:space="preserve">I can investigate specific events efficiently during QA or a post-go-live review.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680"/>
      </w:tblGrid>
      <w:tr>
        <w:tc>
          <w:tcPr>
            <w:tcW w:type="dxa" w:w="1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0A192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00BCD4"/>
                <w:sz w:val="20"/>
                <w:szCs w:val="20"/>
              </w:rPr>
              <w:t xml:space="preserve">🔧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8899AA"/>
                <w:sz w:val="18"/>
                <w:szCs w:val="18"/>
              </w:rPr>
              <w:t xml:space="preserve">Migration Engineer</w:t>
            </w:r>
          </w:p>
        </w:tc>
        <w:tc>
          <w:tcPr>
            <w:tcW w:type="dxa" w:w="868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7FB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color w:val="4A6A8A"/>
                <w:sz w:val="21"/>
                <w:szCs w:val="21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2A3A4A"/>
                <w:sz w:val="21"/>
                <w:szCs w:val="21"/>
              </w:rPr>
              <w:t xml:space="preserve">Migration Engineer, </w:t>
            </w:r>
            <w:r>
              <w:rPr>
                <w:rFonts w:ascii="Arial" w:cs="Arial" w:eastAsia="Arial" w:hAnsi="Arial"/>
                <w:color w:val="4A6A8A"/>
                <w:sz w:val="21"/>
                <w:szCs w:val="21"/>
              </w:rPr>
              <w:t xml:space="preserve">I want to </w:t>
            </w:r>
            <w:r>
              <w:rPr>
                <w:rFonts w:ascii="Arial" w:cs="Arial" w:eastAsia="Arial" w:hAnsi="Arial"/>
                <w:b/>
                <w:bCs/>
                <w:color w:val="0A3A5A"/>
                <w:sz w:val="21"/>
                <w:szCs w:val="21"/>
              </w:rPr>
              <w:t xml:space="preserve">export the full project log as a CSV or plain text file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A6A8A"/>
                <w:sz w:val="21"/>
                <w:szCs w:val="21"/>
              </w:rPr>
              <w:t xml:space="preserve">so that </w:t>
            </w:r>
            <w:r>
              <w:rPr>
                <w:rFonts w:ascii="Arial" w:cs="Arial" w:eastAsia="Arial" w:hAnsi="Arial"/>
                <w:i/>
                <w:iCs/>
                <w:color w:val="2E7D54"/>
                <w:sz w:val="21"/>
                <w:szCs w:val="21"/>
              </w:rPr>
              <w:t xml:space="preserve">I can attach it to a ticket, send it to BWS management, or keep it as a migration artefact.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A1929"/>
          <w:sz w:val="28"/>
          <w:szCs w:val="28"/>
        </w:rPr>
        <w:t xml:space="preserve">2.6 Suggestions &amp; Feature Development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680"/>
      </w:tblGrid>
      <w:tr>
        <w:tc>
          <w:tcPr>
            <w:tcW w:type="dxa" w:w="1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0A192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00BCD4"/>
                <w:sz w:val="20"/>
                <w:szCs w:val="20"/>
              </w:rPr>
              <w:t xml:space="preserve">🔧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8899AA"/>
                <w:sz w:val="18"/>
                <w:szCs w:val="18"/>
              </w:rPr>
              <w:t xml:space="preserve">Migration Engineer</w:t>
            </w:r>
          </w:p>
        </w:tc>
        <w:tc>
          <w:tcPr>
            <w:tcW w:type="dxa" w:w="868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7FB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color w:val="4A6A8A"/>
                <w:sz w:val="21"/>
                <w:szCs w:val="21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2A3A4A"/>
                <w:sz w:val="21"/>
                <w:szCs w:val="21"/>
              </w:rPr>
              <w:t xml:space="preserve">Migration Engineer, </w:t>
            </w:r>
            <w:r>
              <w:rPr>
                <w:rFonts w:ascii="Arial" w:cs="Arial" w:eastAsia="Arial" w:hAnsi="Arial"/>
                <w:color w:val="4A6A8A"/>
                <w:sz w:val="21"/>
                <w:szCs w:val="21"/>
              </w:rPr>
              <w:t xml:space="preserve">I want to </w:t>
            </w:r>
            <w:r>
              <w:rPr>
                <w:rFonts w:ascii="Arial" w:cs="Arial" w:eastAsia="Arial" w:hAnsi="Arial"/>
                <w:b/>
                <w:bCs/>
                <w:color w:val="0A3A5A"/>
                <w:sz w:val="21"/>
                <w:szCs w:val="21"/>
              </w:rPr>
              <w:t xml:space="preserve">submit a workflow suggestion, bug report, or feature idea without leaving Cerulean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A6A8A"/>
                <w:sz w:val="21"/>
                <w:szCs w:val="21"/>
              </w:rPr>
              <w:t xml:space="preserve">so that </w:t>
            </w:r>
            <w:r>
              <w:rPr>
                <w:rFonts w:ascii="Arial" w:cs="Arial" w:eastAsia="Arial" w:hAnsi="Arial"/>
                <w:i/>
                <w:iCs/>
                <w:color w:val="2E7D54"/>
                <w:sz w:val="21"/>
                <w:szCs w:val="21"/>
              </w:rPr>
              <w:t xml:space="preserve">I can capture the thought the moment it occurs — usually in the middle of a migration — rather than losing it or going off-platform to file a ticket.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680"/>
      </w:tblGrid>
      <w:tr>
        <w:tc>
          <w:tcPr>
            <w:tcW w:type="dxa" w:w="1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0A192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00BCD4"/>
                <w:sz w:val="20"/>
                <w:szCs w:val="20"/>
              </w:rPr>
              <w:t xml:space="preserve">🔧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8899AA"/>
                <w:sz w:val="18"/>
                <w:szCs w:val="18"/>
              </w:rPr>
              <w:t xml:space="preserve">Migration Engineer</w:t>
            </w:r>
          </w:p>
        </w:tc>
        <w:tc>
          <w:tcPr>
            <w:tcW w:type="dxa" w:w="868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7FB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color w:val="4A6A8A"/>
                <w:sz w:val="21"/>
                <w:szCs w:val="21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2A3A4A"/>
                <w:sz w:val="21"/>
                <w:szCs w:val="21"/>
              </w:rPr>
              <w:t xml:space="preserve">Migration Engineer, </w:t>
            </w:r>
            <w:r>
              <w:rPr>
                <w:rFonts w:ascii="Arial" w:cs="Arial" w:eastAsia="Arial" w:hAnsi="Arial"/>
                <w:color w:val="4A6A8A"/>
                <w:sz w:val="21"/>
                <w:szCs w:val="21"/>
              </w:rPr>
              <w:t xml:space="preserve">I want to </w:t>
            </w:r>
            <w:r>
              <w:rPr>
                <w:rFonts w:ascii="Arial" w:cs="Arial" w:eastAsia="Arial" w:hAnsi="Arial"/>
                <w:b/>
                <w:bCs/>
                <w:color w:val="0A3A5A"/>
                <w:sz w:val="21"/>
                <w:szCs w:val="21"/>
              </w:rPr>
              <w:t xml:space="preserve">upvote suggestions from other engineers so the highest-impact ideas surface naturally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A6A8A"/>
                <w:sz w:val="21"/>
                <w:szCs w:val="21"/>
              </w:rPr>
              <w:t xml:space="preserve">so that </w:t>
            </w:r>
            <w:r>
              <w:rPr>
                <w:rFonts w:ascii="Arial" w:cs="Arial" w:eastAsia="Arial" w:hAnsi="Arial"/>
                <w:i/>
                <w:iCs/>
                <w:color w:val="2E7D54"/>
                <w:sz w:val="21"/>
                <w:szCs w:val="21"/>
              </w:rPr>
              <w:t xml:space="preserve">The team's collective experience shapes what gets built next.</w:t>
            </w:r>
          </w:p>
        </w:tc>
      </w:tr>
    </w:tbl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spacing w:before="480" w:after="180"/>
      </w:pPr>
      <w:r>
        <w:rPr>
          <w:rFonts w:ascii="Arial" w:cs="Arial" w:eastAsia="Arial" w:hAnsi="Arial"/>
          <w:b/>
          <w:bCs/>
          <w:color w:val="00BCD4"/>
          <w:sz w:val="40"/>
          <w:szCs w:val="40"/>
        </w:rPr>
        <w:t xml:space="preserve">3. User Stories — Library Stakeholder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680"/>
      </w:tblGrid>
      <w:tr>
        <w:tc>
          <w:tcPr>
            <w:tcW w:type="dxa" w:w="1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0A192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00BCD4"/>
                <w:sz w:val="20"/>
                <w:szCs w:val="20"/>
              </w:rPr>
              <w:t xml:space="preserve">📚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8899AA"/>
                <w:sz w:val="18"/>
                <w:szCs w:val="18"/>
              </w:rPr>
              <w:t xml:space="preserve">Library Stakeholder</w:t>
            </w:r>
          </w:p>
        </w:tc>
        <w:tc>
          <w:tcPr>
            <w:tcW w:type="dxa" w:w="868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3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color w:val="4A6A8A"/>
                <w:sz w:val="21"/>
                <w:szCs w:val="21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2A3A4A"/>
                <w:sz w:val="21"/>
                <w:szCs w:val="21"/>
              </w:rPr>
              <w:t xml:space="preserve">Library Stakeholder, </w:t>
            </w:r>
            <w:r>
              <w:rPr>
                <w:rFonts w:ascii="Arial" w:cs="Arial" w:eastAsia="Arial" w:hAnsi="Arial"/>
                <w:color w:val="4A6A8A"/>
                <w:sz w:val="21"/>
                <w:szCs w:val="21"/>
              </w:rPr>
              <w:t xml:space="preserve">I want to </w:t>
            </w:r>
            <w:r>
              <w:rPr>
                <w:rFonts w:ascii="Arial" w:cs="Arial" w:eastAsia="Arial" w:hAnsi="Arial"/>
                <w:b/>
                <w:bCs/>
                <w:color w:val="0A3A5A"/>
                <w:sz w:val="21"/>
                <w:szCs w:val="21"/>
              </w:rPr>
              <w:t xml:space="preserve">browse a live Koha instance loaded with our own data before anything goes to production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A6A8A"/>
                <w:sz w:val="21"/>
                <w:szCs w:val="21"/>
              </w:rPr>
              <w:t xml:space="preserve">so that </w:t>
            </w:r>
            <w:r>
              <w:rPr>
                <w:rFonts w:ascii="Arial" w:cs="Arial" w:eastAsia="Arial" w:hAnsi="Arial"/>
                <w:i/>
                <w:iCs/>
                <w:color w:val="2E7D54"/>
                <w:sz w:val="21"/>
                <w:szCs w:val="21"/>
              </w:rPr>
              <w:t xml:space="preserve">We can check that our collection looks right, holds work, and patron accounts are intact — with zero risk.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680"/>
      </w:tblGrid>
      <w:tr>
        <w:tc>
          <w:tcPr>
            <w:tcW w:type="dxa" w:w="1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0A192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00BCD4"/>
                <w:sz w:val="20"/>
                <w:szCs w:val="20"/>
              </w:rPr>
              <w:t xml:space="preserve">📚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8899AA"/>
                <w:sz w:val="18"/>
                <w:szCs w:val="18"/>
              </w:rPr>
              <w:t xml:space="preserve">Library Stakeholder</w:t>
            </w:r>
          </w:p>
        </w:tc>
        <w:tc>
          <w:tcPr>
            <w:tcW w:type="dxa" w:w="868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3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color w:val="4A6A8A"/>
                <w:sz w:val="21"/>
                <w:szCs w:val="21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2A3A4A"/>
                <w:sz w:val="21"/>
                <w:szCs w:val="21"/>
              </w:rPr>
              <w:t xml:space="preserve">Library Stakeholder, </w:t>
            </w:r>
            <w:r>
              <w:rPr>
                <w:rFonts w:ascii="Arial" w:cs="Arial" w:eastAsia="Arial" w:hAnsi="Arial"/>
                <w:color w:val="4A6A8A"/>
                <w:sz w:val="21"/>
                <w:szCs w:val="21"/>
              </w:rPr>
              <w:t xml:space="preserve">I want to </w:t>
            </w:r>
            <w:r>
              <w:rPr>
                <w:rFonts w:ascii="Arial" w:cs="Arial" w:eastAsia="Arial" w:hAnsi="Arial"/>
                <w:b/>
                <w:bCs/>
                <w:color w:val="0A3A5A"/>
                <w:sz w:val="21"/>
                <w:szCs w:val="21"/>
              </w:rPr>
              <w:t xml:space="preserve">search for specific titles and patrons in the sandbox and confirm they appear correctly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A6A8A"/>
                <w:sz w:val="21"/>
                <w:szCs w:val="21"/>
              </w:rPr>
              <w:t xml:space="preserve">so that </w:t>
            </w:r>
            <w:r>
              <w:rPr>
                <w:rFonts w:ascii="Arial" w:cs="Arial" w:eastAsia="Arial" w:hAnsi="Arial"/>
                <w:i/>
                <w:iCs/>
                <w:color w:val="2E7D54"/>
                <w:sz w:val="21"/>
                <w:szCs w:val="21"/>
              </w:rPr>
              <w:t xml:space="preserve">We have confidence the data migration preserved what matters to our community.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680"/>
      </w:tblGrid>
      <w:tr>
        <w:tc>
          <w:tcPr>
            <w:tcW w:type="dxa" w:w="1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0A192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00BCD4"/>
                <w:sz w:val="20"/>
                <w:szCs w:val="20"/>
              </w:rPr>
              <w:t xml:space="preserve">📚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8899AA"/>
                <w:sz w:val="18"/>
                <w:szCs w:val="18"/>
              </w:rPr>
              <w:t xml:space="preserve">Library Stakeholder</w:t>
            </w:r>
          </w:p>
        </w:tc>
        <w:tc>
          <w:tcPr>
            <w:tcW w:type="dxa" w:w="868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3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color w:val="4A6A8A"/>
                <w:sz w:val="21"/>
                <w:szCs w:val="21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2A3A4A"/>
                <w:sz w:val="21"/>
                <w:szCs w:val="21"/>
              </w:rPr>
              <w:t xml:space="preserve">Library Stakeholder, </w:t>
            </w:r>
            <w:r>
              <w:rPr>
                <w:rFonts w:ascii="Arial" w:cs="Arial" w:eastAsia="Arial" w:hAnsi="Arial"/>
                <w:color w:val="4A6A8A"/>
                <w:sz w:val="21"/>
                <w:szCs w:val="21"/>
              </w:rPr>
              <w:t xml:space="preserve">I want to </w:t>
            </w:r>
            <w:r>
              <w:rPr>
                <w:rFonts w:ascii="Arial" w:cs="Arial" w:eastAsia="Arial" w:hAnsi="Arial"/>
                <w:b/>
                <w:bCs/>
                <w:color w:val="0A3A5A"/>
                <w:sz w:val="21"/>
                <w:szCs w:val="21"/>
              </w:rPr>
              <w:t xml:space="preserve">click a single "Approve for production" button when satisfied with the sandbox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A6A8A"/>
                <w:sz w:val="21"/>
                <w:szCs w:val="21"/>
              </w:rPr>
              <w:t xml:space="preserve">so that </w:t>
            </w:r>
            <w:r>
              <w:rPr>
                <w:rFonts w:ascii="Arial" w:cs="Arial" w:eastAsia="Arial" w:hAnsi="Arial"/>
                <w:i/>
                <w:iCs/>
                <w:color w:val="2E7D54"/>
                <w:sz w:val="21"/>
                <w:szCs w:val="21"/>
              </w:rPr>
              <w:t xml:space="preserve">We have a documented sign-off moment that protects both the library and BWS.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680"/>
      </w:tblGrid>
      <w:tr>
        <w:tc>
          <w:tcPr>
            <w:tcW w:type="dxa" w:w="1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0A192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00BCD4"/>
                <w:sz w:val="20"/>
                <w:szCs w:val="20"/>
              </w:rPr>
              <w:t xml:space="preserve">📚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8899AA"/>
                <w:sz w:val="18"/>
                <w:szCs w:val="18"/>
              </w:rPr>
              <w:t xml:space="preserve">Library Stakeholder</w:t>
            </w:r>
          </w:p>
        </w:tc>
        <w:tc>
          <w:tcPr>
            <w:tcW w:type="dxa" w:w="868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3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color w:val="4A6A8A"/>
                <w:sz w:val="21"/>
                <w:szCs w:val="21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2A3A4A"/>
                <w:sz w:val="21"/>
                <w:szCs w:val="21"/>
              </w:rPr>
              <w:t xml:space="preserve">Library Stakeholder, </w:t>
            </w:r>
            <w:r>
              <w:rPr>
                <w:rFonts w:ascii="Arial" w:cs="Arial" w:eastAsia="Arial" w:hAnsi="Arial"/>
                <w:color w:val="4A6A8A"/>
                <w:sz w:val="21"/>
                <w:szCs w:val="21"/>
              </w:rPr>
              <w:t xml:space="preserve">I want to </w:t>
            </w:r>
            <w:r>
              <w:rPr>
                <w:rFonts w:ascii="Arial" w:cs="Arial" w:eastAsia="Arial" w:hAnsi="Arial"/>
                <w:b/>
                <w:bCs/>
                <w:color w:val="0A3A5A"/>
                <w:sz w:val="21"/>
                <w:szCs w:val="21"/>
              </w:rPr>
              <w:t xml:space="preserve">receive an email with a link to our sandbox environment that works in any browser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A6A8A"/>
                <w:sz w:val="21"/>
                <w:szCs w:val="21"/>
              </w:rPr>
              <w:t xml:space="preserve">so that </w:t>
            </w:r>
            <w:r>
              <w:rPr>
                <w:rFonts w:ascii="Arial" w:cs="Arial" w:eastAsia="Arial" w:hAnsi="Arial"/>
                <w:i/>
                <w:iCs/>
                <w:color w:val="2E7D54"/>
                <w:sz w:val="21"/>
                <w:szCs w:val="21"/>
              </w:rPr>
              <w:t xml:space="preserve">We don't need VPN access or technical setup to participate in acceptance testing.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1"/>
        <w:spacing w:before="480" w:after="180"/>
      </w:pPr>
      <w:r>
        <w:rPr>
          <w:rFonts w:ascii="Arial" w:cs="Arial" w:eastAsia="Arial" w:hAnsi="Arial"/>
          <w:b/>
          <w:bCs/>
          <w:color w:val="00BCD4"/>
          <w:sz w:val="40"/>
          <w:szCs w:val="40"/>
        </w:rPr>
        <w:t xml:space="preserve">4. User Stories — Project Manager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680"/>
      </w:tblGrid>
      <w:tr>
        <w:tc>
          <w:tcPr>
            <w:tcW w:type="dxa" w:w="1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0A192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00BCD4"/>
                <w:sz w:val="20"/>
                <w:szCs w:val="20"/>
              </w:rPr>
              <w:t xml:space="preserve">📋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8899AA"/>
                <w:sz w:val="18"/>
                <w:szCs w:val="18"/>
              </w:rPr>
              <w:t xml:space="preserve">BWS Project Manager</w:t>
            </w:r>
          </w:p>
        </w:tc>
        <w:tc>
          <w:tcPr>
            <w:tcW w:type="dxa" w:w="868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7FB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color w:val="4A6A8A"/>
                <w:sz w:val="21"/>
                <w:szCs w:val="21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2A3A4A"/>
                <w:sz w:val="21"/>
                <w:szCs w:val="21"/>
              </w:rPr>
              <w:t xml:space="preserve">BWS Project Manager, </w:t>
            </w:r>
            <w:r>
              <w:rPr>
                <w:rFonts w:ascii="Arial" w:cs="Arial" w:eastAsia="Arial" w:hAnsi="Arial"/>
                <w:color w:val="4A6A8A"/>
                <w:sz w:val="21"/>
                <w:szCs w:val="21"/>
              </w:rPr>
              <w:t xml:space="preserve">I want to </w:t>
            </w:r>
            <w:r>
              <w:rPr>
                <w:rFonts w:ascii="Arial" w:cs="Arial" w:eastAsia="Arial" w:hAnsi="Arial"/>
                <w:b/>
                <w:bCs/>
                <w:color w:val="0A3A5A"/>
                <w:sz w:val="21"/>
                <w:szCs w:val="21"/>
              </w:rPr>
              <w:t xml:space="preserve">see all active migration projects on one dashboard with stage indicators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A6A8A"/>
                <w:sz w:val="21"/>
                <w:szCs w:val="21"/>
              </w:rPr>
              <w:t xml:space="preserve">so that </w:t>
            </w:r>
            <w:r>
              <w:rPr>
                <w:rFonts w:ascii="Arial" w:cs="Arial" w:eastAsia="Arial" w:hAnsi="Arial"/>
                <w:i/>
                <w:iCs/>
                <w:color w:val="2E7D54"/>
                <w:sz w:val="21"/>
                <w:szCs w:val="21"/>
              </w:rPr>
              <w:t xml:space="preserve">I can identify which projects are blocked, which are on track, and where engineer attention is needed.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680"/>
      </w:tblGrid>
      <w:tr>
        <w:tc>
          <w:tcPr>
            <w:tcW w:type="dxa" w:w="1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0A192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00BCD4"/>
                <w:sz w:val="20"/>
                <w:szCs w:val="20"/>
              </w:rPr>
              <w:t xml:space="preserve">📋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8899AA"/>
                <w:sz w:val="18"/>
                <w:szCs w:val="18"/>
              </w:rPr>
              <w:t xml:space="preserve">BWS Project Manager</w:t>
            </w:r>
          </w:p>
        </w:tc>
        <w:tc>
          <w:tcPr>
            <w:tcW w:type="dxa" w:w="868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7FB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color w:val="4A6A8A"/>
                <w:sz w:val="21"/>
                <w:szCs w:val="21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2A3A4A"/>
                <w:sz w:val="21"/>
                <w:szCs w:val="21"/>
              </w:rPr>
              <w:t xml:space="preserve">BWS Project Manager, </w:t>
            </w:r>
            <w:r>
              <w:rPr>
                <w:rFonts w:ascii="Arial" w:cs="Arial" w:eastAsia="Arial" w:hAnsi="Arial"/>
                <w:color w:val="4A6A8A"/>
                <w:sz w:val="21"/>
                <w:szCs w:val="21"/>
              </w:rPr>
              <w:t xml:space="preserve">I want to </w:t>
            </w:r>
            <w:r>
              <w:rPr>
                <w:rFonts w:ascii="Arial" w:cs="Arial" w:eastAsia="Arial" w:hAnsi="Arial"/>
                <w:b/>
                <w:bCs/>
                <w:color w:val="0A3A5A"/>
                <w:sz w:val="21"/>
                <w:szCs w:val="21"/>
              </w:rPr>
              <w:t xml:space="preserve">know when a project reaches "sandbox approved" status without checking with the engineer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A6A8A"/>
                <w:sz w:val="21"/>
                <w:szCs w:val="21"/>
              </w:rPr>
              <w:t xml:space="preserve">so that </w:t>
            </w:r>
            <w:r>
              <w:rPr>
                <w:rFonts w:ascii="Arial" w:cs="Arial" w:eastAsia="Arial" w:hAnsi="Arial"/>
                <w:i/>
                <w:iCs/>
                <w:color w:val="2E7D54"/>
                <w:sz w:val="21"/>
                <w:szCs w:val="21"/>
              </w:rPr>
              <w:t xml:space="preserve">I can proactively schedule the production go-live window and set client expectations.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680"/>
      </w:tblGrid>
      <w:tr>
        <w:tc>
          <w:tcPr>
            <w:tcW w:type="dxa" w:w="1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0A192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00BCD4"/>
                <w:sz w:val="20"/>
                <w:szCs w:val="20"/>
              </w:rPr>
              <w:t xml:space="preserve">📋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8899AA"/>
                <w:sz w:val="18"/>
                <w:szCs w:val="18"/>
              </w:rPr>
              <w:t xml:space="preserve">BWS Project Manager</w:t>
            </w:r>
          </w:p>
        </w:tc>
        <w:tc>
          <w:tcPr>
            <w:tcW w:type="dxa" w:w="868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7FB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color w:val="4A6A8A"/>
                <w:sz w:val="21"/>
                <w:szCs w:val="21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2A3A4A"/>
                <w:sz w:val="21"/>
                <w:szCs w:val="21"/>
              </w:rPr>
              <w:t xml:space="preserve">BWS Project Manager, </w:t>
            </w:r>
            <w:r>
              <w:rPr>
                <w:rFonts w:ascii="Arial" w:cs="Arial" w:eastAsia="Arial" w:hAnsi="Arial"/>
                <w:color w:val="4A6A8A"/>
                <w:sz w:val="21"/>
                <w:szCs w:val="21"/>
              </w:rPr>
              <w:t xml:space="preserve">I want to </w:t>
            </w:r>
            <w:r>
              <w:rPr>
                <w:rFonts w:ascii="Arial" w:cs="Arial" w:eastAsia="Arial" w:hAnsi="Arial"/>
                <w:b/>
                <w:bCs/>
                <w:color w:val="0A3A5A"/>
                <w:sz w:val="21"/>
                <w:szCs w:val="21"/>
              </w:rPr>
              <w:t xml:space="preserve">see the record counts at each stage (how many bibs ingested, how many deduplicated, how many pushed)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A6A8A"/>
                <w:sz w:val="21"/>
                <w:szCs w:val="21"/>
              </w:rPr>
              <w:t xml:space="preserve">so that </w:t>
            </w:r>
            <w:r>
              <w:rPr>
                <w:rFonts w:ascii="Arial" w:cs="Arial" w:eastAsia="Arial" w:hAnsi="Arial"/>
                <w:i/>
                <w:iCs/>
                <w:color w:val="2E7D54"/>
                <w:sz w:val="21"/>
                <w:szCs w:val="21"/>
              </w:rPr>
              <w:t xml:space="preserve">I can report progress to the library and verify nothing was unexpectedly dropped.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680"/>
      </w:tblGrid>
      <w:tr>
        <w:tc>
          <w:tcPr>
            <w:tcW w:type="dxa" w:w="1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0A192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00BCD4"/>
                <w:sz w:val="20"/>
                <w:szCs w:val="20"/>
              </w:rPr>
              <w:t xml:space="preserve">📋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8899AA"/>
                <w:sz w:val="18"/>
                <w:szCs w:val="18"/>
              </w:rPr>
              <w:t xml:space="preserve">BWS Project Manager</w:t>
            </w:r>
          </w:p>
        </w:tc>
        <w:tc>
          <w:tcPr>
            <w:tcW w:type="dxa" w:w="868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7FB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color w:val="4A6A8A"/>
                <w:sz w:val="21"/>
                <w:szCs w:val="21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2A3A4A"/>
                <w:sz w:val="21"/>
                <w:szCs w:val="21"/>
              </w:rPr>
              <w:t xml:space="preserve">BWS Project Manager, </w:t>
            </w:r>
            <w:r>
              <w:rPr>
                <w:rFonts w:ascii="Arial" w:cs="Arial" w:eastAsia="Arial" w:hAnsi="Arial"/>
                <w:color w:val="4A6A8A"/>
                <w:sz w:val="21"/>
                <w:szCs w:val="21"/>
              </w:rPr>
              <w:t xml:space="preserve">I want to </w:t>
            </w:r>
            <w:r>
              <w:rPr>
                <w:rFonts w:ascii="Arial" w:cs="Arial" w:eastAsia="Arial" w:hAnsi="Arial"/>
                <w:b/>
                <w:bCs/>
                <w:color w:val="0A3A5A"/>
                <w:sz w:val="21"/>
                <w:szCs w:val="21"/>
              </w:rPr>
              <w:t xml:space="preserve">see which open suggestions have the most votes and what status they are in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A6A8A"/>
                <w:sz w:val="21"/>
                <w:szCs w:val="21"/>
              </w:rPr>
              <w:t xml:space="preserve">so that </w:t>
            </w:r>
            <w:r>
              <w:rPr>
                <w:rFonts w:ascii="Arial" w:cs="Arial" w:eastAsia="Arial" w:hAnsi="Arial"/>
                <w:i/>
                <w:iCs/>
                <w:color w:val="2E7D54"/>
                <w:sz w:val="21"/>
                <w:szCs w:val="21"/>
              </w:rPr>
              <w:t xml:space="preserve">I can make sprint planning decisions based on actual team priority rather than whoever spoke loudest in standup.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680"/>
      </w:tblGrid>
      <w:tr>
        <w:tc>
          <w:tcPr>
            <w:tcW w:type="dxa" w:w="1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0A192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00BCD4"/>
                <w:sz w:val="20"/>
                <w:szCs w:val="20"/>
              </w:rPr>
              <w:t xml:space="preserve">📋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8899AA"/>
                <w:sz w:val="18"/>
                <w:szCs w:val="18"/>
              </w:rPr>
              <w:t xml:space="preserve">BWS Project Manager</w:t>
            </w:r>
          </w:p>
        </w:tc>
        <w:tc>
          <w:tcPr>
            <w:tcW w:type="dxa" w:w="868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7FB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color w:val="4A6A8A"/>
                <w:sz w:val="21"/>
                <w:szCs w:val="21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2A3A4A"/>
                <w:sz w:val="21"/>
                <w:szCs w:val="21"/>
              </w:rPr>
              <w:t xml:space="preserve">BWS Project Manager, </w:t>
            </w:r>
            <w:r>
              <w:rPr>
                <w:rFonts w:ascii="Arial" w:cs="Arial" w:eastAsia="Arial" w:hAnsi="Arial"/>
                <w:color w:val="4A6A8A"/>
                <w:sz w:val="21"/>
                <w:szCs w:val="21"/>
              </w:rPr>
              <w:t xml:space="preserve">I want to </w:t>
            </w:r>
            <w:r>
              <w:rPr>
                <w:rFonts w:ascii="Arial" w:cs="Arial" w:eastAsia="Arial" w:hAnsi="Arial"/>
                <w:b/>
                <w:bCs/>
                <w:color w:val="0A3A5A"/>
                <w:sz w:val="21"/>
                <w:szCs w:val="21"/>
              </w:rPr>
              <w:t xml:space="preserve">mark shipped suggestions as "Shipped Last Sprint" so the team can see their contributions actioned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A6A8A"/>
                <w:sz w:val="21"/>
                <w:szCs w:val="21"/>
              </w:rPr>
              <w:t xml:space="preserve">so that </w:t>
            </w:r>
            <w:r>
              <w:rPr>
                <w:rFonts w:ascii="Arial" w:cs="Arial" w:eastAsia="Arial" w:hAnsi="Arial"/>
                <w:i/>
                <w:iCs/>
                <w:color w:val="2E7D54"/>
                <w:sz w:val="21"/>
                <w:szCs w:val="21"/>
              </w:rPr>
              <w:t xml:space="preserve">Engineers feel heard and are more likely to keep submitting ideas.</w:t>
            </w:r>
          </w:p>
        </w:tc>
      </w:tr>
    </w:tbl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spacing w:before="480" w:after="180"/>
      </w:pPr>
      <w:r>
        <w:rPr>
          <w:rFonts w:ascii="Arial" w:cs="Arial" w:eastAsia="Arial" w:hAnsi="Arial"/>
          <w:b/>
          <w:bCs/>
          <w:color w:val="00BCD4"/>
          <w:sz w:val="40"/>
          <w:szCs w:val="40"/>
        </w:rPr>
        <w:t xml:space="preserve">5. Pipeline Journey — Engineer View</w:t>
      </w:r>
    </w:p>
    <w:p>
      <w:pPr>
        <w:spacing w:before="80" w:after="100" w:line="280"/>
      </w:pPr>
      <w:r>
        <w:rPr>
          <w:rFonts w:ascii="Arial" w:cs="Arial" w:eastAsia="Arial" w:hAnsi="Arial"/>
          <w:i w:val="false"/>
          <w:iCs w:val="false"/>
          <w:color w:val="2A3A4A"/>
          <w:sz w:val="22"/>
          <w:szCs w:val="22"/>
        </w:rPr>
        <w:t xml:space="preserve">The following timeline shows the sequence of actions an engineer takes from receiving raw data files to completing a production migration. Estimated times are based on a representative 87,000-bib / 24,000-patron library.</w:t>
      </w:r>
    </w:p>
    <w:p>
      <w:pPr>
        <w:spacing w:before="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1200"/>
        <w:gridCol w:w="5480"/>
      </w:tblGrid>
      <w:tr>
        <w:tc>
          <w:tcPr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080C1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080C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CD4"/>
                <w:sz w:val="21"/>
                <w:szCs w:val="21"/>
              </w:rPr>
              <w:t xml:space="preserve">Stage</w:t>
            </w:r>
          </w:p>
        </w:tc>
        <w:tc>
          <w:tcPr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080C1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21"/>
                <w:szCs w:val="21"/>
              </w:rPr>
              <w:t xml:space="preserve">Time</w:t>
            </w:r>
          </w:p>
        </w:tc>
        <w:tc>
          <w:tcPr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080C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CD4"/>
                <w:sz w:val="21"/>
                <w:szCs w:val="21"/>
              </w:rPr>
              <w:t xml:space="preserve">Engineer Actions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1200"/>
        <w:gridCol w:w="5480"/>
      </w:tblGrid>
      <w:tr>
        <w:tc>
          <w:tcPr>
            <w:tcW w:type="dxa" w:w="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0A192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929"/>
                <w:sz w:val="21"/>
                <w:szCs w:val="21"/>
              </w:rPr>
              <w:t xml:space="preserve">Data Ingest</w:t>
            </w:r>
          </w:p>
        </w:tc>
        <w:tc>
          <w:tcPr>
            <w:tcW w:type="dxa" w:w="1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E0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838F"/>
                <w:sz w:val="20"/>
                <w:szCs w:val="20"/>
              </w:rPr>
              <w:t xml:space="preserve">5–30 min</w:t>
            </w:r>
          </w:p>
        </w:tc>
        <w:tc>
          <w:tcPr>
            <w:tcW w:type="dxa" w:w="548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6A8A"/>
                <w:sz w:val="20"/>
                <w:szCs w:val="20"/>
              </w:rPr>
              <w:t xml:space="preserve">Upload MARC + CSV files. Confirm ILS auto-detection. Review file record counts.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1200"/>
        <w:gridCol w:w="5480"/>
      </w:tblGrid>
      <w:tr>
        <w:tc>
          <w:tcPr>
            <w:tcW w:type="dxa" w:w="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0A192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929"/>
                <w:sz w:val="21"/>
                <w:szCs w:val="21"/>
              </w:rPr>
              <w:t xml:space="preserve">Analyze &amp; Map</w:t>
            </w:r>
          </w:p>
        </w:tc>
        <w:tc>
          <w:tcPr>
            <w:tcW w:type="dxa" w:w="1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E0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838F"/>
                <w:sz w:val="20"/>
                <w:szCs w:val="20"/>
              </w:rPr>
              <w:t xml:space="preserve">30–90 min</w:t>
            </w:r>
          </w:p>
        </w:tc>
        <w:tc>
          <w:tcPr>
            <w:tcW w:type="dxa" w:w="548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6A8A"/>
                <w:sz w:val="20"/>
                <w:szCs w:val="20"/>
              </w:rPr>
              <w:t xml:space="preserve">Review tag frequency. Approve AI-suggested field maps. Use record viewer to validate sample records.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1200"/>
        <w:gridCol w:w="5480"/>
      </w:tblGrid>
      <w:tr>
        <w:tc>
          <w:tcPr>
            <w:tcW w:type="dxa" w:w="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0A192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929"/>
                <w:sz w:val="21"/>
                <w:szCs w:val="21"/>
              </w:rPr>
              <w:t xml:space="preserve">Transform</w:t>
            </w:r>
          </w:p>
        </w:tc>
        <w:tc>
          <w:tcPr>
            <w:tcW w:type="dxa" w:w="1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E0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838F"/>
                <w:sz w:val="20"/>
                <w:szCs w:val="20"/>
              </w:rPr>
              <w:t xml:space="preserve">10–20 min</w:t>
            </w:r>
          </w:p>
        </w:tc>
        <w:tc>
          <w:tcPr>
            <w:tcW w:type="dxa" w:w="548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6A8A"/>
                <w:sz w:val="20"/>
                <w:szCs w:val="20"/>
              </w:rPr>
              <w:t xml:space="preserve">Build merge queue. Configure dedup join. Run transform pipeline. Inspect output MARC file.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1200"/>
        <w:gridCol w:w="5480"/>
      </w:tblGrid>
      <w:tr>
        <w:tc>
          <w:tcPr>
            <w:tcW w:type="dxa" w:w="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0A192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929"/>
                <w:sz w:val="21"/>
                <w:szCs w:val="21"/>
              </w:rPr>
              <w:t xml:space="preserve">Validate &amp; Dedup</w:t>
            </w:r>
          </w:p>
        </w:tc>
        <w:tc>
          <w:tcPr>
            <w:tcW w:type="dxa" w:w="1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E0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838F"/>
                <w:sz w:val="20"/>
                <w:szCs w:val="20"/>
              </w:rPr>
              <w:t xml:space="preserve">15–45 min</w:t>
            </w:r>
          </w:p>
        </w:tc>
        <w:tc>
          <w:tcPr>
            <w:tcW w:type="dxa" w:w="548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6A8A"/>
                <w:sz w:val="20"/>
                <w:szCs w:val="20"/>
              </w:rPr>
              <w:t xml:space="preserve">Run pre-flight validation against Koha. Select dedup rule. Review clusters. Apply dedup.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1200"/>
        <w:gridCol w:w="5480"/>
      </w:tblGrid>
      <w:tr>
        <w:tc>
          <w:tcPr>
            <w:tcW w:type="dxa" w:w="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0A192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929"/>
                <w:sz w:val="21"/>
                <w:szCs w:val="21"/>
              </w:rPr>
              <w:t xml:space="preserve">Push — Dry Run</w:t>
            </w:r>
          </w:p>
        </w:tc>
        <w:tc>
          <w:tcPr>
            <w:tcW w:type="dxa" w:w="1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E0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838F"/>
                <w:sz w:val="20"/>
                <w:szCs w:val="20"/>
              </w:rPr>
              <w:t xml:space="preserve">5–10 min</w:t>
            </w:r>
          </w:p>
        </w:tc>
        <w:tc>
          <w:tcPr>
            <w:tcW w:type="dxa" w:w="548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6A8A"/>
                <w:sz w:val="20"/>
                <w:szCs w:val="20"/>
              </w:rPr>
              <w:t xml:space="preserve">Execute push in dry-run mode. Review all warnings. Resolve itemtype / branchcode errors.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1200"/>
        <w:gridCol w:w="5480"/>
      </w:tblGrid>
      <w:tr>
        <w:tc>
          <w:tcPr>
            <w:tcW w:type="dxa" w:w="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0A192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929"/>
                <w:sz w:val="21"/>
                <w:szCs w:val="21"/>
              </w:rPr>
              <w:t xml:space="preserve">Push — Production</w:t>
            </w:r>
          </w:p>
        </w:tc>
        <w:tc>
          <w:tcPr>
            <w:tcW w:type="dxa" w:w="1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E0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838F"/>
                <w:sz w:val="20"/>
                <w:szCs w:val="20"/>
              </w:rPr>
              <w:t xml:space="preserve">30–60 min</w:t>
            </w:r>
          </w:p>
        </w:tc>
        <w:tc>
          <w:tcPr>
            <w:tcW w:type="dxa" w:w="548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6A8A"/>
                <w:sz w:val="20"/>
                <w:szCs w:val="20"/>
              </w:rPr>
              <w:t xml:space="preserve">Execute push (bulkmarcimport.pl + ES reindex). Monitor live log. Verify record counts in Koha.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1200"/>
        <w:gridCol w:w="5480"/>
      </w:tblGrid>
      <w:tr>
        <w:tc>
          <w:tcPr>
            <w:tcW w:type="dxa" w:w="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0A192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929"/>
                <w:sz w:val="21"/>
                <w:szCs w:val="21"/>
              </w:rPr>
              <w:t xml:space="preserve">KTD Sandbox</w:t>
            </w:r>
          </w:p>
        </w:tc>
        <w:tc>
          <w:tcPr>
            <w:tcW w:type="dxa" w:w="1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E0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838F"/>
                <w:sz w:val="20"/>
                <w:szCs w:val="20"/>
              </w:rPr>
              <w:t xml:space="preserve">30–45 min</w:t>
            </w:r>
          </w:p>
        </w:tc>
        <w:tc>
          <w:tcPr>
            <w:tcW w:type="dxa" w:w="548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6A8A"/>
                <w:sz w:val="20"/>
                <w:szCs w:val="20"/>
              </w:rPr>
              <w:t xml:space="preserve">[Future] Spin sandbox. Email library staff URL. Await sign-off. Promote to production.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A0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BCD4"/>
                <w:sz w:val="18"/>
                <w:szCs w:val="18"/>
              </w:rPr>
              <w:t xml:space="preserve">  INGEST     ANALYZE     TRANSFORM    VALIDATE    PUSH       SANDBOX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BCD4"/>
                <w:sz w:val="18"/>
                <w:szCs w:val="18"/>
              </w:rPr>
              <w:t xml:space="preserve">    │            │            │            │         │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BCD4"/>
                <w:sz w:val="18"/>
                <w:szCs w:val="18"/>
              </w:rPr>
              <w:t xml:space="preserve">  ┌─┴─┐        ┌─┴─┐       ┌─┴─┐       ┌─┴─┐    ┌─┴──┐      ┌─┴──┐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BCD4"/>
                <w:sz w:val="18"/>
                <w:szCs w:val="18"/>
              </w:rPr>
              <w:t xml:space="preserve">  │ ✓ │───────►│ ✓ │──────►│ ✓ │──────►│ ✓ │───►│ ⚡ │─────►│ ⏳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BCD4"/>
                <w:sz w:val="18"/>
                <w:szCs w:val="18"/>
              </w:rPr>
              <w:t xml:space="preserve">  └───┘        └───┘       └───┘       └───┘    └────┘      └────┘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BCD4"/>
                <w:sz w:val="18"/>
                <w:szCs w:val="18"/>
              </w:rPr>
              <w:t xml:space="preserve">  Files        AI maps     Merged       87k       ~9 min      KTD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BCD4"/>
                <w:sz w:val="18"/>
                <w:szCs w:val="18"/>
              </w:rPr>
              <w:t xml:space="preserve">  indexed      approved    .mrc         clean     push+ES     sandbox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BCD4"/>
                <w:sz w:val="18"/>
                <w:szCs w:val="18"/>
              </w:rPr>
              <w:t xml:space="preserve">                                        bibs      reindex     (future)</w:t>
            </w:r>
          </w:p>
        </w:tc>
      </w:tr>
    </w:tbl>
    <w:p>
      <w:r>
        <w:br w:type="page"/>
      </w:r>
    </w:p>
    <w:p>
      <w:pPr>
        <w:pStyle w:val="Heading1"/>
        <w:spacing w:before="480" w:after="180"/>
      </w:pPr>
      <w:r>
        <w:rPr>
          <w:rFonts w:ascii="Arial" w:cs="Arial" w:eastAsia="Arial" w:hAnsi="Arial"/>
          <w:b/>
          <w:bCs/>
          <w:color w:val="00BCD4"/>
          <w:sz w:val="40"/>
          <w:szCs w:val="40"/>
        </w:rPr>
        <w:t xml:space="preserve">6. Infrastructure Architecture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A1929"/>
          <w:sz w:val="28"/>
          <w:szCs w:val="28"/>
        </w:rPr>
        <w:t xml:space="preserve">6.1 Production Deployment</w:t>
      </w:r>
    </w:p>
    <w:p>
      <w:pPr>
        <w:spacing w:before="80" w:after="100" w:line="280"/>
      </w:pPr>
      <w:r>
        <w:rPr>
          <w:rFonts w:ascii="Arial" w:cs="Arial" w:eastAsia="Arial" w:hAnsi="Arial"/>
          <w:i w:val="false"/>
          <w:iCs w:val="false"/>
          <w:color w:val="2A3A4A"/>
          <w:sz w:val="22"/>
          <w:szCs w:val="22"/>
        </w:rPr>
        <w:t xml:space="preserve">Cerulean Next runs as a set of Docker Compose services on the BWS migration server. The same host that runs Cerulean can also host KTD sandbox instances for acceptance testing, using Docker's native multi-project namespace support.</w:t>
      </w:r>
    </w:p>
    <w:p>
      <w:pPr>
        <w:spacing w:before="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A0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BCD4"/>
                <w:sz w:val="18"/>
                <w:szCs w:val="18"/>
              </w:rPr>
              <w:t xml:space="preserve">╔═══════════════════════════════════════════════════════════════╗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BCD4"/>
                <w:sz w:val="18"/>
                <w:szCs w:val="18"/>
              </w:rPr>
              <w:t xml:space="preserve">║             BWS MIGRATION SERVER (Linux / Docker)            ║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BCD4"/>
                <w:sz w:val="18"/>
                <w:szCs w:val="18"/>
              </w:rPr>
              <w:t xml:space="preserve">╠═══════════════════════════════════════════════════════════════╣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BCD4"/>
                <w:sz w:val="18"/>
                <w:szCs w:val="18"/>
              </w:rPr>
              <w:t xml:space="preserve">║  CERULEAN NEXT (docker compose project: cerulean)            ║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BCD4"/>
                <w:sz w:val="18"/>
                <w:szCs w:val="18"/>
              </w:rPr>
              <w:t xml:space="preserve">║  ┌──────────┐  ┌──────────┐  ┌──────────┐  ┌────────────┐  ║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BCD4"/>
                <w:sz w:val="18"/>
                <w:szCs w:val="18"/>
              </w:rPr>
              <w:t xml:space="preserve">║  │  FastAPI  │  │  Celery  │  │PostgreSQL│  │   Redis    │  ║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BCD4"/>
                <w:sz w:val="18"/>
                <w:szCs w:val="18"/>
              </w:rPr>
              <w:t xml:space="preserve">║  │  :8000   │  │ workers  │  │  :5432   │  │   :6379    │  ║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BCD4"/>
                <w:sz w:val="18"/>
                <w:szCs w:val="18"/>
              </w:rPr>
              <w:t xml:space="preserve">║  └────┬─────┘  └────┬─────┘  └──────────┘  └────────────┘  ║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BCD4"/>
                <w:sz w:val="18"/>
                <w:szCs w:val="18"/>
              </w:rPr>
              <w:t xml:space="preserve">║       │             │         ┌────────────────────────────┐ ║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BCD4"/>
                <w:sz w:val="18"/>
                <w:szCs w:val="18"/>
              </w:rPr>
              <w:t xml:space="preserve">║       └─────────────┤         │  /data/projects/           │ ║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BCD4"/>
                <w:sz w:val="18"/>
                <w:szCs w:val="18"/>
              </w:rPr>
              <w:t xml:space="preserve">║                     │         │  MIG-2024-0047/            │ ║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BCD4"/>
                <w:sz w:val="18"/>
                <w:szCs w:val="18"/>
              </w:rPr>
              <w:t xml:space="preserve">║                     │         │    *.mrc  *.csv  *.log     │ ║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BCD4"/>
                <w:sz w:val="18"/>
                <w:szCs w:val="18"/>
              </w:rPr>
              <w:t xml:space="preserve">║                     │         └────────────────────────────┘ ║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BCD4"/>
                <w:sz w:val="18"/>
                <w:szCs w:val="18"/>
              </w:rPr>
              <w:t xml:space="preserve">╠═════════════════════╪═════════════════════════════════════════╣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BCD4"/>
                <w:sz w:val="18"/>
                <w:szCs w:val="18"/>
              </w:rPr>
              <w:t xml:space="preserve">║  KTD SANDBOXES      │                                        ║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BCD4"/>
                <w:sz w:val="18"/>
                <w:szCs w:val="18"/>
              </w:rPr>
              <w:t xml:space="preserve">║  ┌─────────────────────────────────────┐                    ║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BCD4"/>
                <w:sz w:val="18"/>
                <w:szCs w:val="18"/>
              </w:rPr>
              <w:t xml:space="preserve">║  │ ktd project: westfield2024           │                    ║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BCD4"/>
                <w:sz w:val="18"/>
                <w:szCs w:val="18"/>
              </w:rPr>
              <w:t xml:space="preserve">║  │  koha  │  mariadb  │  ES8  │  memcached │                ║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BCD4"/>
                <w:sz w:val="18"/>
                <w:szCs w:val="18"/>
              </w:rPr>
              <w:t xml:space="preserve">║  │  :8080 OPAC  │  :8081 Staff           │                  ║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BCD4"/>
                <w:sz w:val="18"/>
                <w:szCs w:val="18"/>
              </w:rPr>
              <w:t xml:space="preserve">║  └─────────────────────────────────────┘                    ║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BCD4"/>
                <w:sz w:val="18"/>
                <w:szCs w:val="18"/>
              </w:rPr>
              <w:t xml:space="preserve">╚═══════════════════════════════════════════════════════════════╝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BCD4"/>
                <w:sz w:val="18"/>
                <w:szCs w:val="18"/>
              </w:rPr>
              <w:t xml:space="preserve">         │               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BCD4"/>
                <w:sz w:val="18"/>
                <w:szCs w:val="18"/>
              </w:rPr>
              <w:t xml:space="preserve">         │  SSH / koha-shell            │  Koha REST API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BCD4"/>
                <w:sz w:val="18"/>
                <w:szCs w:val="18"/>
              </w:rPr>
              <w:t xml:space="preserve">         ▼                              ▼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BCD4"/>
                <w:sz w:val="18"/>
                <w:szCs w:val="18"/>
              </w:rPr>
              <w:t xml:space="preserve">╔══════════════════════════╗   ╔═══════════════════════════╗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BCD4"/>
                <w:sz w:val="18"/>
                <w:szCs w:val="18"/>
              </w:rPr>
              <w:t xml:space="preserve">║  TARGET KOHA (prod)      ║   ║  Anthropic Claude API     ║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BCD4"/>
                <w:sz w:val="18"/>
                <w:szCs w:val="18"/>
              </w:rPr>
              <w:t xml:space="preserve">║  MariaDB                 ║   ║  (field mapping + ILS     ║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BCD4"/>
                <w:sz w:val="18"/>
                <w:szCs w:val="18"/>
              </w:rPr>
              <w:t xml:space="preserve">║  Elasticsearch 8         ║   ║  detection only — no PII) ║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BCD4"/>
                <w:sz w:val="18"/>
                <w:szCs w:val="18"/>
              </w:rPr>
              <w:t xml:space="preserve">║  Plack / Mojolicious     ║   ╚═══════════════════════════╝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BCD4"/>
                <w:sz w:val="18"/>
                <w:szCs w:val="18"/>
              </w:rPr>
              <w:t xml:space="preserve">╚══════════════════════════╝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A1929"/>
          <w:sz w:val="28"/>
          <w:szCs w:val="28"/>
        </w:rPr>
        <w:t xml:space="preserve">6.2 Data Flow — Bib + Item Ingest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A0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BCD4"/>
                <w:sz w:val="18"/>
                <w:szCs w:val="18"/>
              </w:rPr>
              <w:t xml:space="preserve">  Source ILS Export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BCD4"/>
                <w:sz w:val="18"/>
                <w:szCs w:val="18"/>
              </w:rPr>
              <w:t xml:space="preserve">  (15 × .mrc files)     ┌─────────────────┐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BCD4"/>
                <w:sz w:val="18"/>
                <w:szCs w:val="18"/>
              </w:rPr>
              <w:t xml:space="preserve">         │              │  Cerulean UI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BCD4"/>
                <w:sz w:val="18"/>
                <w:szCs w:val="18"/>
              </w:rPr>
              <w:t xml:space="preserve">         ▼              │  (browser)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BCD4"/>
                <w:sz w:val="18"/>
                <w:szCs w:val="18"/>
              </w:rPr>
              <w:t xml:space="preserve">  ┌─────────────┐       └────────┬─────────┘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BCD4"/>
                <w:sz w:val="18"/>
                <w:szCs w:val="18"/>
              </w:rPr>
              <w:t xml:space="preserve">  │  File Upload│◄───────────────┘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BCD4"/>
                <w:sz w:val="18"/>
                <w:szCs w:val="18"/>
              </w:rPr>
              <w:t xml:space="preserve">  │  (FastAPI)  │  multipart/form-data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BCD4"/>
                <w:sz w:val="18"/>
                <w:szCs w:val="18"/>
              </w:rPr>
              <w:t xml:space="preserve">  └──────┬──────┘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BCD4"/>
                <w:sz w:val="18"/>
                <w:szCs w:val="18"/>
              </w:rPr>
              <w:t xml:space="preserve">         │  spawn Celery task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BCD4"/>
                <w:sz w:val="18"/>
                <w:szCs w:val="18"/>
              </w:rPr>
              <w:t xml:space="preserve">         ▼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BCD4"/>
                <w:sz w:val="18"/>
                <w:szCs w:val="18"/>
              </w:rPr>
              <w:t xml:space="preserve">  ┌─────────────────────────────────────────────┐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BCD4"/>
                <w:sz w:val="18"/>
                <w:szCs w:val="18"/>
              </w:rPr>
              <w:t xml:space="preserve">  │  ingest_marc_task            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BCD4"/>
                <w:sz w:val="18"/>
                <w:szCs w:val="18"/>
              </w:rPr>
              <w:t xml:space="preserve">  │  • Parse with pymarc         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BCD4"/>
                <w:sz w:val="18"/>
                <w:szCs w:val="18"/>
              </w:rPr>
              <w:t xml:space="preserve">  │  • Index record metadata → PostgreSQL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BCD4"/>
                <w:sz w:val="18"/>
                <w:szCs w:val="18"/>
              </w:rPr>
              <w:t xml:space="preserve">  │  • Detect ILS type (heuristics)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BCD4"/>
                <w:sz w:val="18"/>
                <w:szCs w:val="18"/>
              </w:rPr>
              <w:t xml:space="preserve">  └──────┬──────────────────────────────────────┘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BCD4"/>
                <w:sz w:val="18"/>
                <w:szCs w:val="18"/>
              </w:rPr>
              <w:t xml:space="preserve">         │  merge_pipeline_task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BCD4"/>
                <w:sz w:val="18"/>
                <w:szCs w:val="18"/>
              </w:rPr>
              <w:t xml:space="preserve">         ▼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BCD4"/>
                <w:sz w:val="18"/>
                <w:szCs w:val="18"/>
              </w:rPr>
              <w:t xml:space="preserve">  ┌─────────────────────────────────────────────┐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BCD4"/>
                <w:sz w:val="18"/>
                <w:szCs w:val="18"/>
              </w:rPr>
              <w:t xml:space="preserve">  │  Merge + Dedup + Items Join  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BCD4"/>
                <w:sz w:val="18"/>
                <w:szCs w:val="18"/>
              </w:rPr>
              <w:t xml:space="preserve">  │  • Concatenate 15 files      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BCD4"/>
                <w:sz w:val="18"/>
                <w:szCs w:val="18"/>
              </w:rPr>
              <w:t xml:space="preserve">  │  • Deduplicate on 001        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BCD4"/>
                <w:sz w:val="18"/>
                <w:szCs w:val="18"/>
              </w:rPr>
              <w:t xml:space="preserve">  │  • Join items_all.csv → embed as 952 fields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BCD4"/>
                <w:sz w:val="18"/>
                <w:szCs w:val="18"/>
              </w:rPr>
              <w:t xml:space="preserve">  │  • Output: bibs_merged.mrc (87,209 records)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BCD4"/>
                <w:sz w:val="18"/>
                <w:szCs w:val="18"/>
              </w:rPr>
              <w:t xml:space="preserve">  └──────┬──────────────────────────────────────┘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BCD4"/>
                <w:sz w:val="18"/>
                <w:szCs w:val="18"/>
              </w:rPr>
              <w:t xml:space="preserve">         │  push_bulkmarc_task (koha-shell)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BCD4"/>
                <w:sz w:val="18"/>
                <w:szCs w:val="18"/>
              </w:rPr>
              <w:t xml:space="preserve">         ▼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BCD4"/>
                <w:sz w:val="18"/>
                <w:szCs w:val="18"/>
              </w:rPr>
              <w:t xml:space="preserve">  ┌─────────────────────────────────────────────┐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BCD4"/>
                <w:sz w:val="18"/>
                <w:szCs w:val="18"/>
              </w:rPr>
              <w:t xml:space="preserve">  │  bulkmarcimport.pl --noidx   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BCD4"/>
                <w:sz w:val="18"/>
                <w:szCs w:val="18"/>
              </w:rPr>
              <w:t xml:space="preserve">  │  → MariaDB: biblio + biblioitems + items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BCD4"/>
                <w:sz w:val="18"/>
                <w:szCs w:val="18"/>
              </w:rPr>
              <w:t xml:space="preserve">  │  (no ES writes during import)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BCD4"/>
                <w:sz w:val="18"/>
                <w:szCs w:val="18"/>
              </w:rPr>
              <w:t xml:space="preserve">  └──────┬──────────────────────────────────────┘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BCD4"/>
                <w:sz w:val="18"/>
                <w:szCs w:val="18"/>
              </w:rPr>
              <w:t xml:space="preserve">         │  es_reindex_task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BCD4"/>
                <w:sz w:val="18"/>
                <w:szCs w:val="18"/>
              </w:rPr>
              <w:t xml:space="preserve">         ▼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BCD4"/>
                <w:sz w:val="18"/>
                <w:szCs w:val="18"/>
              </w:rPr>
              <w:t xml:space="preserve">  ┌─────────────────────────────────────────────┐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BCD4"/>
                <w:sz w:val="18"/>
                <w:szCs w:val="18"/>
              </w:rPr>
              <w:t xml:space="preserve">  │  koha-elasticsearch --rebuild -d -b -a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BCD4"/>
                <w:sz w:val="18"/>
                <w:szCs w:val="18"/>
              </w:rPr>
              <w:t xml:space="preserve">  │  → Single bulk HTTP POST to ES8 cluster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BCD4"/>
                <w:sz w:val="18"/>
                <w:szCs w:val="18"/>
              </w:rPr>
              <w:t xml:space="preserve">  │  → 87,209 bibs indexed in ~5–10 min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BCD4"/>
                <w:sz w:val="18"/>
                <w:szCs w:val="18"/>
              </w:rPr>
              <w:t xml:space="preserve">  └─────────────────────────────────────────────┘</w:t>
            </w:r>
          </w:p>
        </w:tc>
      </w:tr>
    </w:tbl>
    <w:p>
      <w:r>
        <w:br w:type="pag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A1929"/>
          <w:sz w:val="28"/>
          <w:szCs w:val="28"/>
        </w:rPr>
        <w:t xml:space="preserve">6.3 KTD Sandbox Flow (Future)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A0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BCD4"/>
                <w:sz w:val="18"/>
                <w:szCs w:val="18"/>
              </w:rPr>
              <w:t xml:space="preserve">  Engineer clicks "Start Sandbox" in Cerulean UI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BCD4"/>
                <w:sz w:val="18"/>
                <w:szCs w:val="18"/>
              </w:rPr>
              <w:t xml:space="preserve">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BCD4"/>
                <w:sz w:val="18"/>
                <w:szCs w:val="18"/>
              </w:rPr>
              <w:t xml:space="preserve">         ▼  ktd_provision_task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BCD4"/>
                <w:sz w:val="18"/>
                <w:szCs w:val="18"/>
              </w:rPr>
              <w:t xml:space="preserve">  ┌──────────────────────────────────────────────┐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BCD4"/>
                <w:sz w:val="18"/>
                <w:szCs w:val="18"/>
              </w:rPr>
              <w:t xml:space="preserve">  │  Docker API on migration server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BCD4"/>
                <w:sz w:val="18"/>
                <w:szCs w:val="18"/>
              </w:rPr>
              <w:t xml:space="preserve">  │  KOHA_IMAGE=24.11 ktd --name westfield2024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BCD4"/>
                <w:sz w:val="18"/>
                <w:szCs w:val="18"/>
              </w:rPr>
              <w:t xml:space="preserve">  │              --es8 up -d      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BCD4"/>
                <w:sz w:val="18"/>
                <w:szCs w:val="18"/>
              </w:rPr>
              <w:t xml:space="preserve">  │                               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BCD4"/>
                <w:sz w:val="18"/>
                <w:szCs w:val="18"/>
              </w:rPr>
              <w:t xml:space="preserve">  │  Services started:            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BCD4"/>
                <w:sz w:val="18"/>
                <w:szCs w:val="18"/>
              </w:rPr>
              <w:t xml:space="preserve">  │  ▸ koha (Plack)     ▸ mariadb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BCD4"/>
                <w:sz w:val="18"/>
                <w:szCs w:val="18"/>
              </w:rPr>
              <w:t xml:space="preserve">  │  ▸ elasticsearch8   ▸ memcached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BCD4"/>
                <w:sz w:val="18"/>
                <w:szCs w:val="18"/>
              </w:rPr>
              <w:t xml:space="preserve">  │  ▸ rabbitmq         ▸ traefik proxy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BCD4"/>
                <w:sz w:val="18"/>
                <w:szCs w:val="18"/>
              </w:rPr>
              <w:t xml:space="preserve">  └──────────┬───────────────────────────────────┘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BCD4"/>
                <w:sz w:val="18"/>
                <w:szCs w:val="18"/>
              </w:rPr>
              <w:t xml:space="preserve">             │  ktd_configure_task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BCD4"/>
                <w:sz w:val="18"/>
                <w:szCs w:val="18"/>
              </w:rPr>
              <w:t xml:space="preserve">             ▼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BCD4"/>
                <w:sz w:val="18"/>
                <w:szCs w:val="18"/>
              </w:rPr>
              <w:t xml:space="preserve">  Replay customer Koha profile SQL (itemtypes,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BCD4"/>
                <w:sz w:val="18"/>
                <w:szCs w:val="18"/>
              </w:rPr>
              <w:t xml:space="preserve">  branches, categories, frameworks → MariaDB)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BCD4"/>
                <w:sz w:val="18"/>
                <w:szCs w:val="18"/>
              </w:rPr>
              <w:t xml:space="preserve">             │  Full ingest pipeline (same as prod)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BCD4"/>
                <w:sz w:val="18"/>
                <w:szCs w:val="18"/>
              </w:rPr>
              <w:t xml:space="preserve">             ▼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BCD4"/>
                <w:sz w:val="18"/>
                <w:szCs w:val="18"/>
              </w:rPr>
              <w:t xml:space="preserve">  bibs + patrons + holds + circ → KTD MariaDB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BCD4"/>
                <w:sz w:val="18"/>
                <w:szCs w:val="18"/>
              </w:rPr>
              <w:t xml:space="preserve">  koha-elasticsearch --rebuild → KTD ES cluster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BCD4"/>
                <w:sz w:val="18"/>
                <w:szCs w:val="18"/>
              </w:rPr>
              <w:t xml:space="preserve">             │  ktd_expose_task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BCD4"/>
                <w:sz w:val="18"/>
                <w:szCs w:val="18"/>
              </w:rPr>
              <w:t xml:space="preserve">             ▼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BCD4"/>
                <w:sz w:val="18"/>
                <w:szCs w:val="18"/>
              </w:rPr>
              <w:t xml:space="preserve">  ┌──────────────────────────────────────────────┐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BCD4"/>
                <w:sz w:val="18"/>
                <w:szCs w:val="18"/>
              </w:rPr>
              <w:t xml:space="preserve">  │  Traefik routes:              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BCD4"/>
                <w:sz w:val="18"/>
                <w:szCs w:val="18"/>
              </w:rPr>
              <w:t xml:space="preserve">  │  http://westfield2024.opac.localhost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BCD4"/>
                <w:sz w:val="18"/>
                <w:szCs w:val="18"/>
              </w:rPr>
              <w:t xml:space="preserve">  │  http://westfield2024.intra.localhost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BCD4"/>
                <w:sz w:val="18"/>
                <w:szCs w:val="18"/>
              </w:rPr>
              <w:t xml:space="preserve">  │                               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BCD4"/>
                <w:sz w:val="18"/>
                <w:szCs w:val="18"/>
              </w:rPr>
              <w:t xml:space="preserve">  │  Optional: Cloudflare Tunnel for remote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BCD4"/>
                <w:sz w:val="18"/>
                <w:szCs w:val="18"/>
              </w:rPr>
              <w:t xml:space="preserve">  │  → https://cerulean-westfield2024.cf.dev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BCD4"/>
                <w:sz w:val="18"/>
                <w:szCs w:val="18"/>
              </w:rPr>
              <w:t xml:space="preserve">  └──────────────────────────────────────────────┘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BCD4"/>
                <w:sz w:val="18"/>
                <w:szCs w:val="18"/>
              </w:rPr>
              <w:t xml:space="preserve">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BCD4"/>
                <w:sz w:val="18"/>
                <w:szCs w:val="18"/>
              </w:rPr>
              <w:t xml:space="preserve">             ▼  Email sent to library staff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BCD4"/>
                <w:sz w:val="18"/>
                <w:szCs w:val="18"/>
              </w:rPr>
              <w:t xml:space="preserve">  Library browses sandbox → clicks "Approve"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BCD4"/>
                <w:sz w:val="18"/>
                <w:szCs w:val="18"/>
              </w:rPr>
              <w:t xml:space="preserve">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BCD4"/>
                <w:sz w:val="18"/>
                <w:szCs w:val="18"/>
              </w:rPr>
              <w:t xml:space="preserve">             ▼  Production push runs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BCD4"/>
                <w:sz w:val="18"/>
                <w:szCs w:val="18"/>
              </w:rPr>
              <w:t xml:space="preserve">  ktd --name westfield2024 down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BCD4"/>
                <w:sz w:val="18"/>
                <w:szCs w:val="18"/>
              </w:rPr>
              <w:t xml:space="preserve">  (sandbox torn down, resources reclaimed)</w:t>
            </w:r>
          </w:p>
        </w:tc>
      </w:tr>
    </w:tbl>
    <w:p>
      <w:r>
        <w:br w:type="page"/>
      </w:r>
    </w:p>
    <w:p>
      <w:pPr>
        <w:pStyle w:val="Heading1"/>
        <w:spacing w:before="480" w:after="180"/>
      </w:pPr>
      <w:r>
        <w:rPr>
          <w:rFonts w:ascii="Arial" w:cs="Arial" w:eastAsia="Arial" w:hAnsi="Arial"/>
          <w:b/>
          <w:bCs/>
          <w:color w:val="00BCD4"/>
          <w:sz w:val="40"/>
          <w:szCs w:val="40"/>
        </w:rPr>
        <w:t xml:space="preserve">7. Acceptance Criteria by Stage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0BCD4"/>
          <w:sz w:val="24"/>
          <w:szCs w:val="24"/>
        </w:rPr>
        <w:t xml:space="preserve">Stage 1 — Data Ingest</w:t>
      </w:r>
    </w:p>
    <w:p>
      <w:pPr>
        <w:pStyle w:val="ListParagraph"/>
        <w:numPr>
          <w:ilvl w:val="0"/>
          <w:numId w:val="2"/>
        </w:numPr>
        <w:spacing w:before="40" w:after="40" w:line="260"/>
      </w:pPr>
      <w:r>
        <w:rPr>
          <w:rFonts w:ascii="Arial" w:cs="Arial" w:eastAsia="Arial" w:hAnsi="Arial"/>
          <w:color w:val="2A3A4A"/>
          <w:sz w:val="22"/>
          <w:szCs w:val="22"/>
        </w:rPr>
        <w:t xml:space="preserve">All uploaded MARC files appear in the file list with correct record counts within 60 seconds of upload.</w:t>
      </w:r>
    </w:p>
    <w:p>
      <w:pPr>
        <w:pStyle w:val="ListParagraph"/>
        <w:numPr>
          <w:ilvl w:val="0"/>
          <w:numId w:val="2"/>
        </w:numPr>
        <w:spacing w:before="40" w:after="40" w:line="260"/>
      </w:pPr>
      <w:r>
        <w:rPr>
          <w:rFonts w:ascii="Arial" w:cs="Arial" w:eastAsia="Arial" w:hAnsi="Arial"/>
          <w:color w:val="2A3A4A"/>
          <w:sz w:val="22"/>
          <w:szCs w:val="22"/>
        </w:rPr>
        <w:t xml:space="preserve">ILS detection identifies the source system with ≥90% accuracy on known ILS exports.</w:t>
      </w:r>
    </w:p>
    <w:p>
      <w:pPr>
        <w:pStyle w:val="ListParagraph"/>
        <w:numPr>
          <w:ilvl w:val="0"/>
          <w:numId w:val="2"/>
        </w:numPr>
        <w:spacing w:before="40" w:after="40" w:line="260"/>
      </w:pPr>
      <w:r>
        <w:rPr>
          <w:rFonts w:ascii="Arial" w:cs="Arial" w:eastAsia="Arial" w:hAnsi="Arial"/>
          <w:color w:val="2A3A4A"/>
          <w:sz w:val="22"/>
          <w:szCs w:val="22"/>
        </w:rPr>
        <w:t xml:space="preserve">Any individual record can be retrieved by file + record number in under 2 seconds.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0BCD4"/>
          <w:sz w:val="24"/>
          <w:szCs w:val="24"/>
        </w:rPr>
        <w:t xml:space="preserve">Stage 2 — Analyze &amp; Map</w:t>
      </w:r>
    </w:p>
    <w:p>
      <w:pPr>
        <w:pStyle w:val="ListParagraph"/>
        <w:numPr>
          <w:ilvl w:val="0"/>
          <w:numId w:val="2"/>
        </w:numPr>
        <w:spacing w:before="40" w:after="40" w:line="260"/>
      </w:pPr>
      <w:r>
        <w:rPr>
          <w:rFonts w:ascii="Arial" w:cs="Arial" w:eastAsia="Arial" w:hAnsi="Arial"/>
          <w:color w:val="2A3A4A"/>
          <w:sz w:val="22"/>
          <w:szCs w:val="22"/>
        </w:rPr>
        <w:t xml:space="preserve">Tag frequency histogram renders for any file within 10 seconds.</w:t>
      </w:r>
    </w:p>
    <w:p>
      <w:pPr>
        <w:pStyle w:val="ListParagraph"/>
        <w:numPr>
          <w:ilvl w:val="0"/>
          <w:numId w:val="2"/>
        </w:numPr>
        <w:spacing w:before="40" w:after="40" w:line="260"/>
      </w:pPr>
      <w:r>
        <w:rPr>
          <w:rFonts w:ascii="Arial" w:cs="Arial" w:eastAsia="Arial" w:hAnsi="Arial"/>
          <w:color w:val="2A3A4A"/>
          <w:sz w:val="22"/>
          <w:szCs w:val="22"/>
        </w:rPr>
        <w:t xml:space="preserve">Mapping editor allows creating, editing, and deleting field maps with no AI involvement required.</w:t>
      </w:r>
    </w:p>
    <w:p>
      <w:pPr>
        <w:pStyle w:val="ListParagraph"/>
        <w:numPr>
          <w:ilvl w:val="0"/>
          <w:numId w:val="2"/>
        </w:numPr>
        <w:spacing w:before="40" w:after="40" w:line="260"/>
      </w:pPr>
      <w:r>
        <w:rPr>
          <w:rFonts w:ascii="Arial" w:cs="Arial" w:eastAsia="Arial" w:hAnsi="Arial"/>
          <w:color w:val="2A3A4A"/>
          <w:sz w:val="22"/>
          <w:szCs w:val="22"/>
        </w:rPr>
        <w:t xml:space="preserve">Each map row clearly shows its origin: manual, AI-assisted (with confidence score), or template (with template name).</w:t>
      </w:r>
    </w:p>
    <w:p>
      <w:pPr>
        <w:pStyle w:val="ListParagraph"/>
        <w:numPr>
          <w:ilvl w:val="0"/>
          <w:numId w:val="2"/>
        </w:numPr>
        <w:spacing w:before="40" w:after="40" w:line="260"/>
      </w:pPr>
      <w:r>
        <w:rPr>
          <w:rFonts w:ascii="Arial" w:cs="Arial" w:eastAsia="Arial" w:hAnsi="Arial"/>
          <w:color w:val="2A3A4A"/>
          <w:sz w:val="22"/>
          <w:szCs w:val="22"/>
        </w:rPr>
        <w:t xml:space="preserve">AI suggestions appear on a separate tab; no suggestion is applied to the approved map set without explicit engineer action.</w:t>
      </w:r>
    </w:p>
    <w:p>
      <w:pPr>
        <w:pStyle w:val="ListParagraph"/>
        <w:numPr>
          <w:ilvl w:val="0"/>
          <w:numId w:val="2"/>
        </w:numPr>
        <w:spacing w:before="40" w:after="40" w:line="260"/>
      </w:pPr>
      <w:r>
        <w:rPr>
          <w:rFonts w:ascii="Arial" w:cs="Arial" w:eastAsia="Arial" w:hAnsi="Arial"/>
          <w:color w:val="2A3A4A"/>
          <w:sz w:val="22"/>
          <w:szCs w:val="22"/>
        </w:rPr>
        <w:t xml:space="preserve">AI suggestions cover ≥80% of source tags that have a known Koha equivalent, with plain-English reasoning per suggestion.</w:t>
      </w:r>
    </w:p>
    <w:p>
      <w:pPr>
        <w:pStyle w:val="ListParagraph"/>
        <w:numPr>
          <w:ilvl w:val="0"/>
          <w:numId w:val="2"/>
        </w:numPr>
        <w:spacing w:before="40" w:after="40" w:line="260"/>
      </w:pPr>
      <w:r>
        <w:rPr>
          <w:rFonts w:ascii="Arial" w:cs="Arial" w:eastAsia="Arial" w:hAnsi="Arial"/>
          <w:color w:val="2A3A4A"/>
          <w:sz w:val="22"/>
          <w:szCs w:val="22"/>
        </w:rPr>
        <w:t xml:space="preserve">Templates can be saved (project-scoped or global), loaded in replace mode, and loaded in merge mode without overwriting approved maps.</w:t>
      </w:r>
    </w:p>
    <w:p>
      <w:pPr>
        <w:pStyle w:val="ListParagraph"/>
        <w:numPr>
          <w:ilvl w:val="0"/>
          <w:numId w:val="2"/>
        </w:numPr>
        <w:spacing w:before="40" w:after="40" w:line="260"/>
      </w:pPr>
      <w:r>
        <w:rPr>
          <w:rFonts w:ascii="Arial" w:cs="Arial" w:eastAsia="Arial" w:hAnsi="Arial"/>
          <w:color w:val="2A3A4A"/>
          <w:sz w:val="22"/>
          <w:szCs w:val="22"/>
        </w:rPr>
        <w:t xml:space="preserve">Promoting a project-scoped template to global is a single action available to any engineer.</w:t>
      </w:r>
    </w:p>
    <w:p>
      <w:pPr>
        <w:pStyle w:val="ListParagraph"/>
        <w:numPr>
          <w:ilvl w:val="0"/>
          <w:numId w:val="2"/>
        </w:numPr>
        <w:spacing w:before="40" w:after="40" w:line="260"/>
      </w:pPr>
      <w:r>
        <w:rPr>
          <w:rFonts w:ascii="Arial" w:cs="Arial" w:eastAsia="Arial" w:hAnsi="Arial"/>
          <w:color w:val="2A3A4A"/>
          <w:sz w:val="22"/>
          <w:szCs w:val="22"/>
        </w:rPr>
        <w:t xml:space="preserve">Multi-pane viewer supports 1, 2, or 3 panes with independent navigation; diff mode highlights all differing fields.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0BCD4"/>
          <w:sz w:val="24"/>
          <w:szCs w:val="24"/>
        </w:rPr>
        <w:t xml:space="preserve">Stage 3 — Transform</w:t>
      </w:r>
    </w:p>
    <w:p>
      <w:pPr>
        <w:pStyle w:val="ListParagraph"/>
        <w:numPr>
          <w:ilvl w:val="0"/>
          <w:numId w:val="2"/>
        </w:numPr>
        <w:spacing w:before="40" w:after="40" w:line="260"/>
      </w:pPr>
      <w:r>
        <w:rPr>
          <w:rFonts w:ascii="Arial" w:cs="Arial" w:eastAsia="Arial" w:hAnsi="Arial"/>
          <w:color w:val="2A3A4A"/>
          <w:sz w:val="22"/>
          <w:szCs w:val="22"/>
        </w:rPr>
        <w:t xml:space="preserve">Merge pipeline correctly concatenates N MARC files in user-specified order.</w:t>
      </w:r>
    </w:p>
    <w:p>
      <w:pPr>
        <w:pStyle w:val="ListParagraph"/>
        <w:numPr>
          <w:ilvl w:val="0"/>
          <w:numId w:val="2"/>
        </w:numPr>
        <w:spacing w:before="40" w:after="40" w:line="260"/>
      </w:pPr>
      <w:r>
        <w:rPr>
          <w:rFonts w:ascii="Arial" w:cs="Arial" w:eastAsia="Arial" w:hAnsi="Arial"/>
          <w:color w:val="2A3A4A"/>
          <w:sz w:val="22"/>
          <w:szCs w:val="22"/>
        </w:rPr>
        <w:t xml:space="preserve">Duplicate detection on 001 field finds all matching control numbers across files.</w:t>
      </w:r>
    </w:p>
    <w:p>
      <w:pPr>
        <w:pStyle w:val="ListParagraph"/>
        <w:numPr>
          <w:ilvl w:val="0"/>
          <w:numId w:val="2"/>
        </w:numPr>
        <w:spacing w:before="40" w:after="40" w:line="260"/>
      </w:pPr>
      <w:r>
        <w:rPr>
          <w:rFonts w:ascii="Arial" w:cs="Arial" w:eastAsia="Arial" w:hAnsi="Arial"/>
          <w:color w:val="2A3A4A"/>
          <w:sz w:val="22"/>
          <w:szCs w:val="22"/>
        </w:rPr>
        <w:t xml:space="preserve">Items CSV join produces correct 952 fields for ≥99.5% of matched bib records.</w:t>
      </w:r>
    </w:p>
    <w:p>
      <w:pPr>
        <w:pStyle w:val="ListParagraph"/>
        <w:numPr>
          <w:ilvl w:val="0"/>
          <w:numId w:val="2"/>
        </w:numPr>
        <w:spacing w:before="40" w:after="40" w:line="260"/>
      </w:pPr>
      <w:r>
        <w:rPr>
          <w:rFonts w:ascii="Arial" w:cs="Arial" w:eastAsia="Arial" w:hAnsi="Arial"/>
          <w:color w:val="2A3A4A"/>
          <w:sz w:val="22"/>
          <w:szCs w:val="22"/>
        </w:rPr>
        <w:t xml:space="preserve">Output MARC file can be parsed by pymarc and koha-marc-tools without errors.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0BCD4"/>
          <w:sz w:val="24"/>
          <w:szCs w:val="24"/>
        </w:rPr>
        <w:t xml:space="preserve">Stage 4 — Validate &amp; Dedup</w:t>
      </w:r>
    </w:p>
    <w:p>
      <w:pPr>
        <w:pStyle w:val="ListParagraph"/>
        <w:numPr>
          <w:ilvl w:val="0"/>
          <w:numId w:val="2"/>
        </w:numPr>
        <w:spacing w:before="40" w:after="40" w:line="260"/>
      </w:pPr>
      <w:r>
        <w:rPr>
          <w:rFonts w:ascii="Arial" w:cs="Arial" w:eastAsia="Arial" w:hAnsi="Arial"/>
          <w:color w:val="2A3A4A"/>
          <w:sz w:val="22"/>
          <w:szCs w:val="22"/>
        </w:rPr>
        <w:t xml:space="preserve">Pre-flight validation reports every missing itemtype, branchcode, and patron category before push.</w:t>
      </w:r>
    </w:p>
    <w:p>
      <w:pPr>
        <w:pStyle w:val="ListParagraph"/>
        <w:numPr>
          <w:ilvl w:val="0"/>
          <w:numId w:val="2"/>
        </w:numPr>
        <w:spacing w:before="40" w:after="40" w:line="260"/>
      </w:pPr>
      <w:r>
        <w:rPr>
          <w:rFonts w:ascii="Arial" w:cs="Arial" w:eastAsia="Arial" w:hAnsi="Arial"/>
          <w:color w:val="2A3A4A"/>
          <w:sz w:val="22"/>
          <w:szCs w:val="22"/>
        </w:rPr>
        <w:t xml:space="preserve">Dedup scan completes on 100k records in under 120 seconds.</w:t>
      </w:r>
    </w:p>
    <w:p>
      <w:pPr>
        <w:pStyle w:val="ListParagraph"/>
        <w:numPr>
          <w:ilvl w:val="0"/>
          <w:numId w:val="2"/>
        </w:numPr>
        <w:spacing w:before="40" w:after="40" w:line="260"/>
      </w:pPr>
      <w:r>
        <w:rPr>
          <w:rFonts w:ascii="Arial" w:cs="Arial" w:eastAsia="Arial" w:hAnsi="Arial"/>
          <w:color w:val="2A3A4A"/>
          <w:sz w:val="22"/>
          <w:szCs w:val="22"/>
        </w:rPr>
        <w:t xml:space="preserve">All dedup cluster decisions are stored and visible before apply is enabled.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0BCD4"/>
          <w:sz w:val="24"/>
          <w:szCs w:val="24"/>
        </w:rPr>
        <w:t xml:space="preserve">Stage 5 — Push to Koha</w:t>
      </w:r>
    </w:p>
    <w:p>
      <w:pPr>
        <w:pStyle w:val="ListParagraph"/>
        <w:numPr>
          <w:ilvl w:val="0"/>
          <w:numId w:val="2"/>
        </w:numPr>
        <w:spacing w:before="40" w:after="40" w:line="260"/>
      </w:pPr>
      <w:r>
        <w:rPr>
          <w:rFonts w:ascii="Arial" w:cs="Arial" w:eastAsia="Arial" w:hAnsi="Arial"/>
          <w:color w:val="2A3A4A"/>
          <w:sz w:val="22"/>
          <w:szCs w:val="22"/>
        </w:rPr>
        <w:t xml:space="preserve">bulkmarcimport.pl completes without fatal errors on valid MARC input.</w:t>
      </w:r>
    </w:p>
    <w:p>
      <w:pPr>
        <w:pStyle w:val="ListParagraph"/>
        <w:numPr>
          <w:ilvl w:val="0"/>
          <w:numId w:val="2"/>
        </w:numPr>
        <w:spacing w:before="40" w:after="40" w:line="260"/>
      </w:pPr>
      <w:r>
        <w:rPr>
          <w:rFonts w:ascii="Arial" w:cs="Arial" w:eastAsia="Arial" w:hAnsi="Arial"/>
          <w:color w:val="2A3A4A"/>
          <w:sz w:val="22"/>
          <w:szCs w:val="22"/>
        </w:rPr>
        <w:t xml:space="preserve">Final Koha record count matches expected post-dedup count ±0.1%.</w:t>
      </w:r>
    </w:p>
    <w:p>
      <w:pPr>
        <w:pStyle w:val="ListParagraph"/>
        <w:numPr>
          <w:ilvl w:val="0"/>
          <w:numId w:val="2"/>
        </w:numPr>
        <w:spacing w:before="40" w:after="40" w:line="260"/>
      </w:pPr>
      <w:r>
        <w:rPr>
          <w:rFonts w:ascii="Arial" w:cs="Arial" w:eastAsia="Arial" w:hAnsi="Arial"/>
          <w:color w:val="2A3A4A"/>
          <w:sz w:val="22"/>
          <w:szCs w:val="22"/>
        </w:rPr>
        <w:t xml:space="preserve">ES reindex completes and all records are searchable in Koha OPAC within 15 minutes of push completion.</w:t>
      </w:r>
    </w:p>
    <w:p>
      <w:pPr>
        <w:pStyle w:val="ListParagraph"/>
        <w:numPr>
          <w:ilvl w:val="0"/>
          <w:numId w:val="2"/>
        </w:numPr>
        <w:spacing w:before="40" w:after="40" w:line="260"/>
      </w:pPr>
      <w:r>
        <w:rPr>
          <w:rFonts w:ascii="Arial" w:cs="Arial" w:eastAsia="Arial" w:hAnsi="Arial"/>
          <w:color w:val="2A3A4A"/>
          <w:sz w:val="22"/>
          <w:szCs w:val="22"/>
        </w:rPr>
        <w:t xml:space="preserve">Full push audit log retained and downloadable as plain text.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0BCD4"/>
          <w:sz w:val="24"/>
          <w:szCs w:val="24"/>
        </w:rPr>
        <w:t xml:space="preserve">Stage 6 — KTD Sandbox (Future)</w:t>
      </w:r>
    </w:p>
    <w:p>
      <w:pPr>
        <w:pStyle w:val="ListParagraph"/>
        <w:numPr>
          <w:ilvl w:val="0"/>
          <w:numId w:val="2"/>
        </w:numPr>
        <w:spacing w:before="40" w:after="40" w:line="260"/>
      </w:pPr>
      <w:r>
        <w:rPr>
          <w:rFonts w:ascii="Arial" w:cs="Arial" w:eastAsia="Arial" w:hAnsi="Arial"/>
          <w:color w:val="2A3A4A"/>
          <w:sz w:val="22"/>
          <w:szCs w:val="22"/>
        </w:rPr>
        <w:t xml:space="preserve">KTD instance is accessible at sandbox URL within 35 minutes of "Start Sandbox" click.</w:t>
      </w:r>
    </w:p>
    <w:p>
      <w:pPr>
        <w:pStyle w:val="ListParagraph"/>
        <w:numPr>
          <w:ilvl w:val="0"/>
          <w:numId w:val="2"/>
        </w:numPr>
        <w:spacing w:before="40" w:after="40" w:line="260"/>
      </w:pPr>
      <w:r>
        <w:rPr>
          <w:rFonts w:ascii="Arial" w:cs="Arial" w:eastAsia="Arial" w:hAnsi="Arial"/>
          <w:color w:val="2A3A4A"/>
          <w:sz w:val="22"/>
          <w:szCs w:val="22"/>
        </w:rPr>
        <w:t xml:space="preserve">All records visible in KTD OPAC match the approved post-dedup dataset.</w:t>
      </w:r>
    </w:p>
    <w:p>
      <w:pPr>
        <w:pStyle w:val="ListParagraph"/>
        <w:numPr>
          <w:ilvl w:val="0"/>
          <w:numId w:val="2"/>
        </w:numPr>
        <w:spacing w:before="40" w:after="40" w:line="260"/>
      </w:pPr>
      <w:r>
        <w:rPr>
          <w:rFonts w:ascii="Arial" w:cs="Arial" w:eastAsia="Arial" w:hAnsi="Arial"/>
          <w:color w:val="2A3A4A"/>
          <w:sz w:val="22"/>
          <w:szCs w:val="22"/>
        </w:rPr>
        <w:t xml:space="preserve">"Approve for production" button is only enabled after library user has authenticated.</w:t>
      </w:r>
    </w:p>
    <w:p>
      <w:pPr>
        <w:pStyle w:val="ListParagraph"/>
        <w:numPr>
          <w:ilvl w:val="0"/>
          <w:numId w:val="2"/>
        </w:numPr>
        <w:spacing w:before="40" w:after="40" w:line="260"/>
      </w:pPr>
      <w:r>
        <w:rPr>
          <w:rFonts w:ascii="Arial" w:cs="Arial" w:eastAsia="Arial" w:hAnsi="Arial"/>
          <w:color w:val="2A3A4A"/>
          <w:sz w:val="22"/>
          <w:szCs w:val="22"/>
        </w:rPr>
        <w:t xml:space="preserve">Sandbox is fully torn down within 5 minutes of approval or cancellation.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0BCD4"/>
          <w:sz w:val="24"/>
          <w:szCs w:val="24"/>
        </w:rPr>
        <w:t xml:space="preserve">Cross-Project — Audit Log</w:t>
      </w:r>
    </w:p>
    <w:p>
      <w:pPr>
        <w:pStyle w:val="ListParagraph"/>
        <w:numPr>
          <w:ilvl w:val="0"/>
          <w:numId w:val="2"/>
        </w:numPr>
        <w:spacing w:before="40" w:after="40" w:line="260"/>
      </w:pPr>
      <w:r>
        <w:rPr>
          <w:rFonts w:ascii="Arial" w:cs="Arial" w:eastAsia="Arial" w:hAnsi="Arial"/>
          <w:color w:val="2A3A4A"/>
          <w:sz w:val="22"/>
          <w:szCs w:val="22"/>
        </w:rPr>
        <w:t xml:space="preserve">Every stage transition, map approval, dedup apply, and push event is written to the audit log within 1 second.</w:t>
      </w:r>
    </w:p>
    <w:p>
      <w:pPr>
        <w:pStyle w:val="ListParagraph"/>
        <w:numPr>
          <w:ilvl w:val="0"/>
          <w:numId w:val="2"/>
        </w:numPr>
        <w:spacing w:before="40" w:after="40" w:line="260"/>
      </w:pPr>
      <w:r>
        <w:rPr>
          <w:rFonts w:ascii="Arial" w:cs="Arial" w:eastAsia="Arial" w:hAnsi="Arial"/>
          <w:color w:val="2A3A4A"/>
          <w:sz w:val="22"/>
          <w:szCs w:val="22"/>
        </w:rPr>
        <w:t xml:space="preserve">Log is filterable by stage (1–6) and severity (info / warn / error / complete) in the UI.</w:t>
      </w:r>
    </w:p>
    <w:p>
      <w:pPr>
        <w:pStyle w:val="ListParagraph"/>
        <w:numPr>
          <w:ilvl w:val="0"/>
          <w:numId w:val="2"/>
        </w:numPr>
        <w:spacing w:before="40" w:after="40" w:line="260"/>
      </w:pPr>
      <w:r>
        <w:rPr>
          <w:rFonts w:ascii="Arial" w:cs="Arial" w:eastAsia="Arial" w:hAnsi="Arial"/>
          <w:color w:val="2A3A4A"/>
          <w:sz w:val="22"/>
          <w:szCs w:val="22"/>
        </w:rPr>
        <w:t xml:space="preserve">Full log is exportable as CSV and plain text without pagination limits.</w:t>
      </w:r>
    </w:p>
    <w:p>
      <w:pPr>
        <w:pStyle w:val="ListParagraph"/>
        <w:numPr>
          <w:ilvl w:val="0"/>
          <w:numId w:val="2"/>
        </w:numPr>
        <w:spacing w:before="40" w:after="40" w:line="260"/>
      </w:pPr>
      <w:r>
        <w:rPr>
          <w:rFonts w:ascii="Arial" w:cs="Arial" w:eastAsia="Arial" w:hAnsi="Arial"/>
          <w:color w:val="2A3A4A"/>
          <w:sz w:val="22"/>
          <w:szCs w:val="22"/>
        </w:rPr>
        <w:t xml:space="preserve">Real-time streaming log is available during active push via SSE without page reload.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0BCD4"/>
          <w:sz w:val="24"/>
          <w:szCs w:val="24"/>
        </w:rPr>
        <w:t xml:space="preserve">Cross-Project — Suggestions &amp; Feature Feedback</w:t>
      </w:r>
    </w:p>
    <w:p>
      <w:pPr>
        <w:pStyle w:val="ListParagraph"/>
        <w:numPr>
          <w:ilvl w:val="0"/>
          <w:numId w:val="2"/>
        </w:numPr>
        <w:spacing w:before="40" w:after="40" w:line="260"/>
      </w:pPr>
      <w:r>
        <w:rPr>
          <w:rFonts w:ascii="Arial" w:cs="Arial" w:eastAsia="Arial" w:hAnsi="Arial"/>
          <w:color w:val="2A3A4A"/>
          <w:sz w:val="22"/>
          <w:szCs w:val="22"/>
        </w:rPr>
        <w:t xml:space="preserve">Any engineer can submit a suggestion (bug / feature / workflow / discussion) from anywhere in the platform.</w:t>
      </w:r>
    </w:p>
    <w:p>
      <w:pPr>
        <w:pStyle w:val="ListParagraph"/>
        <w:numPr>
          <w:ilvl w:val="0"/>
          <w:numId w:val="2"/>
        </w:numPr>
        <w:spacing w:before="40" w:after="40" w:line="260"/>
      </w:pPr>
      <w:r>
        <w:rPr>
          <w:rFonts w:ascii="Arial" w:cs="Arial" w:eastAsia="Arial" w:hAnsi="Arial"/>
          <w:color w:val="2A3A4A"/>
          <w:sz w:val="22"/>
          <w:szCs w:val="22"/>
        </w:rPr>
        <w:t xml:space="preserve">Suggestions are visible to all engineers and carry a vote count, type badge, and status.</w:t>
      </w:r>
    </w:p>
    <w:p>
      <w:pPr>
        <w:pStyle w:val="ListParagraph"/>
        <w:numPr>
          <w:ilvl w:val="0"/>
          <w:numId w:val="2"/>
        </w:numPr>
        <w:spacing w:before="40" w:after="40" w:line="260"/>
      </w:pPr>
      <w:r>
        <w:rPr>
          <w:rFonts w:ascii="Arial" w:cs="Arial" w:eastAsia="Arial" w:hAnsi="Arial"/>
          <w:color w:val="2A3A4A"/>
          <w:sz w:val="22"/>
          <w:szCs w:val="22"/>
        </w:rPr>
        <w:t xml:space="preserve">Shipped items appear in a "Shipped Last Sprint" section after status is updated by an admin.</w:t>
      </w:r>
    </w:p>
    <w:p>
      <w:pPr>
        <w:pStyle w:val="ListParagraph"/>
        <w:numPr>
          <w:ilvl w:val="0"/>
          <w:numId w:val="2"/>
        </w:numPr>
        <w:spacing w:before="40" w:after="40" w:line="260"/>
      </w:pPr>
      <w:r>
        <w:rPr>
          <w:rFonts w:ascii="Arial" w:cs="Arial" w:eastAsia="Arial" w:hAnsi="Arial"/>
          <w:color w:val="2A3A4A"/>
          <w:sz w:val="22"/>
          <w:szCs w:val="22"/>
        </w:rPr>
        <w:t xml:space="preserve">Suggestions are optionally linked to a specific project for context.</w:t>
      </w:r>
    </w:p>
    <w:p>
      <w:r>
        <w:br w:type="page"/>
      </w:r>
    </w:p>
    <w:p>
      <w:pPr>
        <w:pStyle w:val="Heading1"/>
        <w:spacing w:before="480" w:after="180"/>
      </w:pPr>
      <w:r>
        <w:rPr>
          <w:rFonts w:ascii="Arial" w:cs="Arial" w:eastAsia="Arial" w:hAnsi="Arial"/>
          <w:b/>
          <w:bCs/>
          <w:color w:val="00BCD4"/>
          <w:sz w:val="40"/>
          <w:szCs w:val="40"/>
        </w:rPr>
        <w:t xml:space="preserve">8. Out of Scope — v1.0</w:t>
      </w:r>
    </w:p>
    <w:p>
      <w:pPr>
        <w:pStyle w:val="ListParagraph"/>
        <w:numPr>
          <w:ilvl w:val="0"/>
          <w:numId w:val="2"/>
        </w:numPr>
        <w:spacing w:before="40" w:after="40" w:line="260"/>
      </w:pPr>
      <w:r>
        <w:rPr>
          <w:rFonts w:ascii="Arial" w:cs="Arial" w:eastAsia="Arial" w:hAnsi="Arial"/>
          <w:color w:val="2A3A4A"/>
          <w:sz w:val="22"/>
          <w:szCs w:val="22"/>
        </w:rPr>
        <w:t xml:space="preserve">Authority record migration (Cerulean v1 handles bibliographic and item records only).</w:t>
      </w:r>
    </w:p>
    <w:p>
      <w:pPr>
        <w:pStyle w:val="ListParagraph"/>
        <w:numPr>
          <w:ilvl w:val="0"/>
          <w:numId w:val="2"/>
        </w:numPr>
        <w:spacing w:before="40" w:after="40" w:line="260"/>
      </w:pPr>
      <w:r>
        <w:rPr>
          <w:rFonts w:ascii="Arial" w:cs="Arial" w:eastAsia="Arial" w:hAnsi="Arial"/>
          <w:color w:val="2A3A4A"/>
          <w:sz w:val="22"/>
          <w:szCs w:val="22"/>
        </w:rPr>
        <w:t xml:space="preserve">Serial / subscription data migration.</w:t>
      </w:r>
    </w:p>
    <w:p>
      <w:pPr>
        <w:pStyle w:val="ListParagraph"/>
        <w:numPr>
          <w:ilvl w:val="0"/>
          <w:numId w:val="2"/>
        </w:numPr>
        <w:spacing w:before="40" w:after="40" w:line="260"/>
      </w:pPr>
      <w:r>
        <w:rPr>
          <w:rFonts w:ascii="Arial" w:cs="Arial" w:eastAsia="Arial" w:hAnsi="Arial"/>
          <w:color w:val="2A3A4A"/>
          <w:sz w:val="22"/>
          <w:szCs w:val="22"/>
        </w:rPr>
        <w:t xml:space="preserve">Self-service library access to Cerulean — v1 is BWS-staff-only.</w:t>
      </w:r>
    </w:p>
    <w:p>
      <w:pPr>
        <w:pStyle w:val="ListParagraph"/>
        <w:numPr>
          <w:ilvl w:val="0"/>
          <w:numId w:val="2"/>
        </w:numPr>
        <w:spacing w:before="40" w:after="40" w:line="260"/>
      </w:pPr>
      <w:r>
        <w:rPr>
          <w:rFonts w:ascii="Arial" w:cs="Arial" w:eastAsia="Arial" w:hAnsi="Arial"/>
          <w:color w:val="2A3A4A"/>
          <w:sz w:val="22"/>
          <w:szCs w:val="22"/>
        </w:rPr>
        <w:t xml:space="preserve">Multi-region / cloud-hosted Cerulean deployment.</w:t>
      </w:r>
    </w:p>
    <w:p>
      <w:pPr>
        <w:pStyle w:val="ListParagraph"/>
        <w:numPr>
          <w:ilvl w:val="0"/>
          <w:numId w:val="2"/>
        </w:numPr>
        <w:spacing w:before="40" w:after="40" w:line="260"/>
      </w:pPr>
      <w:r>
        <w:rPr>
          <w:rFonts w:ascii="Arial" w:cs="Arial" w:eastAsia="Arial" w:hAnsi="Arial"/>
          <w:color w:val="2A3A4A"/>
          <w:sz w:val="22"/>
          <w:szCs w:val="22"/>
        </w:rPr>
        <w:t xml:space="preserve">KTD Sandbox provisioning (specced for v1.1+).</w:t>
      </w:r>
    </w:p>
    <w:p>
      <w:pPr>
        <w:pStyle w:val="ListParagraph"/>
        <w:numPr>
          <w:ilvl w:val="0"/>
          <w:numId w:val="2"/>
        </w:numPr>
        <w:spacing w:before="40" w:after="40" w:line="260"/>
      </w:pPr>
      <w:r>
        <w:rPr>
          <w:rFonts w:ascii="Arial" w:cs="Arial" w:eastAsia="Arial" w:hAnsi="Arial"/>
          <w:color w:val="2A3A4A"/>
          <w:sz w:val="22"/>
          <w:szCs w:val="22"/>
        </w:rPr>
        <w:t xml:space="preserve">Automated regression testing of Koha post-migration (out of scope — separate QA tooling).</w:t>
      </w:r>
    </w:p>
    <w:p>
      <w:pPr>
        <w:spacing w:before="0" w:after="0"/>
      </w:pPr>
      <w:r>
        <w:t xml:space="preserve"/>
      </w:r>
    </w:p>
    <w:p>
      <w:pPr>
        <w:pStyle w:val="Heading1"/>
        <w:spacing w:before="480" w:after="180"/>
      </w:pPr>
      <w:r>
        <w:rPr>
          <w:rFonts w:ascii="Arial" w:cs="Arial" w:eastAsia="Arial" w:hAnsi="Arial"/>
          <w:b/>
          <w:bCs/>
          <w:color w:val="00BCD4"/>
          <w:sz w:val="40"/>
          <w:szCs w:val="40"/>
        </w:rPr>
        <w:t xml:space="preserve">9. Glossary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0A192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CD4"/>
                <w:sz w:val="21"/>
                <w:szCs w:val="21"/>
              </w:rPr>
              <w:t xml:space="preserve">Term</w:t>
            </w:r>
          </w:p>
        </w:tc>
        <w:tc>
          <w:tcPr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0A192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CD4"/>
                <w:sz w:val="21"/>
                <w:szCs w:val="21"/>
              </w:rPr>
              <w:t xml:space="preserve">Definition</w:t>
            </w:r>
          </w:p>
        </w:tc>
      </w:tr>
      <w:tr>
        <w:tc>
          <w:tcPr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3A5A"/>
                <w:sz w:val="20"/>
                <w:szCs w:val="20"/>
              </w:rPr>
              <w:t xml:space="preserve">ILS</w:t>
            </w:r>
          </w:p>
        </w:tc>
        <w:tc>
          <w:tcPr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3A4A"/>
                <w:sz w:val="20"/>
                <w:szCs w:val="20"/>
              </w:rPr>
              <w:t xml:space="preserve">Integrated Library System — the legacy library management software being migrated from.</w:t>
            </w:r>
          </w:p>
        </w:tc>
      </w:tr>
      <w:tr>
        <w:tc>
          <w:tcPr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3A5A"/>
                <w:sz w:val="20"/>
                <w:szCs w:val="20"/>
              </w:rPr>
              <w:t xml:space="preserve">Koha</w:t>
            </w:r>
          </w:p>
        </w:tc>
        <w:tc>
          <w:tcPr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3A4A"/>
                <w:sz w:val="20"/>
                <w:szCs w:val="20"/>
              </w:rPr>
              <w:t xml:space="preserve">The open-source ILS that is the migration target. Hosted by BWS on behalf of library clients.</w:t>
            </w:r>
          </w:p>
        </w:tc>
      </w:tr>
      <w:tr>
        <w:tc>
          <w:tcPr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3A5A"/>
                <w:sz w:val="20"/>
                <w:szCs w:val="20"/>
              </w:rPr>
              <w:t xml:space="preserve">MARC21</w:t>
            </w:r>
          </w:p>
        </w:tc>
        <w:tc>
          <w:tcPr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3A4A"/>
                <w:sz w:val="20"/>
                <w:szCs w:val="20"/>
              </w:rPr>
              <w:t xml:space="preserve">Machine-Readable Cataloging format — the standard bibliographic data format used by libraries.</w:t>
            </w:r>
          </w:p>
        </w:tc>
      </w:tr>
      <w:tr>
        <w:tc>
          <w:tcPr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3A5A"/>
                <w:sz w:val="20"/>
                <w:szCs w:val="20"/>
              </w:rPr>
              <w:t xml:space="preserve">952 field</w:t>
            </w:r>
          </w:p>
        </w:tc>
        <w:tc>
          <w:tcPr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3A4A"/>
                <w:sz w:val="20"/>
                <w:szCs w:val="20"/>
              </w:rPr>
              <w:t xml:space="preserve">The Koha-specific MARC local holdings / item field. Contains barcode, location, item type, etc.</w:t>
            </w:r>
          </w:p>
        </w:tc>
      </w:tr>
      <w:tr>
        <w:tc>
          <w:tcPr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3A5A"/>
                <w:sz w:val="20"/>
                <w:szCs w:val="20"/>
              </w:rPr>
              <w:t xml:space="preserve">bulkmarcimport.pl</w:t>
            </w:r>
          </w:p>
        </w:tc>
        <w:tc>
          <w:tcPr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3A4A"/>
                <w:sz w:val="20"/>
                <w:szCs w:val="20"/>
              </w:rPr>
              <w:t xml:space="preserve">Koha's native Perl migration script. Writes directly to MariaDB via Koha Perl API. 5–10k rec/min.</w:t>
            </w:r>
          </w:p>
        </w:tc>
      </w:tr>
      <w:tr>
        <w:tc>
          <w:tcPr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3A5A"/>
                <w:sz w:val="20"/>
                <w:szCs w:val="20"/>
              </w:rPr>
              <w:t xml:space="preserve">--noidx</w:t>
            </w:r>
          </w:p>
        </w:tc>
        <w:tc>
          <w:tcPr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3A4A"/>
                <w:sz w:val="20"/>
                <w:szCs w:val="20"/>
              </w:rPr>
              <w:t xml:space="preserve">Flag on bulkmarcimport.pl that skips per-record Elasticsearch indexing during import.</w:t>
            </w:r>
          </w:p>
        </w:tc>
      </w:tr>
      <w:tr>
        <w:tc>
          <w:tcPr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3A5A"/>
                <w:sz w:val="20"/>
                <w:szCs w:val="20"/>
              </w:rPr>
              <w:t xml:space="preserve">koha-elasticsearch</w:t>
            </w:r>
          </w:p>
        </w:tc>
        <w:tc>
          <w:tcPr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3A4A"/>
                <w:sz w:val="20"/>
                <w:szCs w:val="20"/>
              </w:rPr>
              <w:t xml:space="preserve">Koha shell command to rebuild the Elasticsearch search index. Run with -d -b -a after bulk import.</w:t>
            </w:r>
          </w:p>
        </w:tc>
      </w:tr>
      <w:tr>
        <w:tc>
          <w:tcPr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3A5A"/>
                <w:sz w:val="20"/>
                <w:szCs w:val="20"/>
              </w:rPr>
              <w:t xml:space="preserve">KTD</w:t>
            </w:r>
          </w:p>
        </w:tc>
        <w:tc>
          <w:tcPr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3A4A"/>
                <w:sz w:val="20"/>
                <w:szCs w:val="20"/>
              </w:rPr>
              <w:t xml:space="preserve">koha-testing-docker — a full Koha environment running as Docker Compose services. Used for sandboxes.</w:t>
            </w:r>
          </w:p>
        </w:tc>
      </w:tr>
      <w:tr>
        <w:tc>
          <w:tcPr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3A5A"/>
                <w:sz w:val="20"/>
                <w:szCs w:val="20"/>
              </w:rPr>
              <w:t xml:space="preserve">pymarc</w:t>
            </w:r>
          </w:p>
        </w:tc>
        <w:tc>
          <w:tcPr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3A4A"/>
                <w:sz w:val="20"/>
                <w:szCs w:val="20"/>
              </w:rPr>
              <w:t xml:space="preserve">Python library for reading, writing, and transforming MARC21 records.</w:t>
            </w:r>
          </w:p>
        </w:tc>
      </w:tr>
      <w:tr>
        <w:tc>
          <w:tcPr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3A5A"/>
                <w:sz w:val="20"/>
                <w:szCs w:val="20"/>
              </w:rPr>
              <w:t xml:space="preserve">Celery</w:t>
            </w:r>
          </w:p>
        </w:tc>
        <w:tc>
          <w:tcPr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3A4A"/>
                <w:sz w:val="20"/>
                <w:szCs w:val="20"/>
              </w:rPr>
              <w:t xml:space="preserve">Python distributed task queue. All long-running Cerulean pipeline operations run as Celery tasks.</w:t>
            </w:r>
          </w:p>
        </w:tc>
      </w:tr>
      <w:tr>
        <w:tc>
          <w:tcPr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3A5A"/>
                <w:sz w:val="20"/>
                <w:szCs w:val="20"/>
              </w:rPr>
              <w:t xml:space="preserve">Dedup cluster</w:t>
            </w:r>
          </w:p>
        </w:tc>
        <w:tc>
          <w:tcPr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3A4A"/>
                <w:sz w:val="20"/>
                <w:szCs w:val="20"/>
              </w:rPr>
              <w:t xml:space="preserve">A group of records identified as duplicates by the active dedup rule. One record is kept; others removed.</w:t>
            </w:r>
          </w:p>
        </w:tc>
      </w:tr>
      <w:tr>
        <w:tc>
          <w:tcPr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3A5A"/>
                <w:sz w:val="20"/>
                <w:szCs w:val="20"/>
              </w:rPr>
              <w:t xml:space="preserve">Data lake</w:t>
            </w:r>
          </w:p>
        </w:tc>
        <w:tc>
          <w:tcPr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3A4A"/>
                <w:sz w:val="20"/>
                <w:szCs w:val="20"/>
              </w:rPr>
              <w:t xml:space="preserve">The /data/projects/{id}/ directory tree holding all files for a migration project.</w:t>
            </w:r>
          </w:p>
        </w:tc>
      </w:tr>
      <w:tr>
        <w:tc>
          <w:tcPr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3A5A"/>
                <w:sz w:val="20"/>
                <w:szCs w:val="20"/>
              </w:rPr>
              <w:t xml:space="preserve">Map Template</w:t>
            </w:r>
          </w:p>
        </w:tc>
        <w:tc>
          <w:tcPr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3A4A"/>
                <w:sz w:val="20"/>
                <w:szCs w:val="20"/>
              </w:rPr>
              <w:t xml:space="preserve">A saved, named set of field maps. Scoped to either a single project or shared globally across all BWS projects. Can be loaded in replace mode (overwrites all) or merge mode (adds without touching approved maps).</w:t>
            </w:r>
          </w:p>
        </w:tc>
      </w:tr>
      <w:tr>
        <w:tc>
          <w:tcPr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3A5A"/>
                <w:sz w:val="20"/>
                <w:szCs w:val="20"/>
              </w:rPr>
              <w:t xml:space="preserve">AI Suggestion</w:t>
            </w:r>
          </w:p>
        </w:tc>
        <w:tc>
          <w:tcPr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3A4A"/>
                <w:sz w:val="20"/>
                <w:szCs w:val="20"/>
              </w:rPr>
              <w:t xml:space="preserve">A field map proposed by Claude API based on tag frequency analysis and sample records. Carries a confidence score (0–100%) and plain-English reasoning. Never applied without explicit engineer approval.</w:t>
            </w:r>
          </w:p>
        </w:tc>
      </w:tr>
      <w:tr>
        <w:tc>
          <w:tcPr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3A5A"/>
                <w:sz w:val="20"/>
                <w:szCs w:val="20"/>
              </w:rPr>
              <w:t xml:space="preserve">Project Audit Log</w:t>
            </w:r>
          </w:p>
        </w:tc>
        <w:tc>
          <w:tcPr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3A4A"/>
                <w:sz w:val="20"/>
                <w:szCs w:val="20"/>
              </w:rPr>
              <w:t xml:space="preserve">A complete, ordered record of every system and user event on a project — ingests, map decisions, pipeline runs, push events. Filterable, streamable in real time, and exportable.</w:t>
            </w:r>
          </w:p>
        </w:tc>
      </w:tr>
      <w:tr>
        <w:tc>
          <w:tcPr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3A5A"/>
                <w:sz w:val="20"/>
                <w:szCs w:val="20"/>
              </w:rPr>
              <w:t xml:space="preserve">Suggestions Board</w:t>
            </w:r>
          </w:p>
        </w:tc>
        <w:tc>
          <w:tcPr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3A4A"/>
                <w:sz w:val="20"/>
                <w:szCs w:val="20"/>
              </w:rPr>
              <w:t xml:space="preserve">An in-platform lightweight issue tracker for BWS engineers to submit bugs, workflow ideas, and feature requests. Supports voting; feeds the sprint planning process.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A6A8A"/>
        <w:sz w:val="18"/>
        <w:szCs w:val="18"/>
      </w:rPr>
      <w:t xml:space="preserve">Cerulean Next  ·  Product Specification  ·  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680"/>
      <w:gridCol w:w="2400"/>
    </w:tblGrid>
    <w:t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A1929" w:val="clear"/>
          <w:tcMar>
            <w:top w:type="dxa" w:w="80"/>
            <w:left w:type="dxa" w:w="160"/>
            <w:bottom w:type="dxa" w:w="80"/>
            <w:right w:type="dxa" w:w="0"/>
          </w:tcMar>
        </w:tcPr>
        <w:p>
          <w:r>
            <w:rPr>
              <w:rFonts w:ascii="Courier New" w:cs="Courier New" w:eastAsia="Courier New" w:hAnsi="Courier New"/>
              <w:b/>
              <w:bCs/>
              <w:color w:val="00BCD4"/>
              <w:sz w:val="16"/>
              <w:szCs w:val="16"/>
            </w:rPr>
            <w:t xml:space="preserve">CERULEAN NEXT — PRODUCT SPECIFICATION &amp; USER STORIES</w:t>
          </w:r>
        </w:p>
      </w:tc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A1929" w:val="clear"/>
          <w:tcMar>
            <w:top w:type="dxa" w:w="80"/>
            <w:left w:type="dxa" w:w="0"/>
            <w:bottom w:type="dxa" w:w="80"/>
            <w:right w:type="dxa" w:w="16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4A6A8A"/>
              <w:sz w:val="16"/>
              <w:szCs w:val="16"/>
            </w:rPr>
            <w:t xml:space="preserve">ByWater Solutions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80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A3A4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0BCD4" w:sz="2" w:space="6"/>
      </w:pBdr>
      <w:spacing w:before="480" w:after="200"/>
      <w:outlineLvl w:val="0"/>
    </w:pPr>
    <w:rPr>
      <w:rFonts w:ascii="Arial" w:cs="Arial" w:eastAsia="Arial" w:hAnsi="Arial"/>
      <w:b/>
      <w:bCs/>
      <w:color w:val="00BCD4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20" w:after="140"/>
      <w:outlineLvl w:val="1"/>
    </w:pPr>
    <w:rPr>
      <w:rFonts w:ascii="Arial" w:cs="Arial" w:eastAsia="Arial" w:hAnsi="Arial"/>
      <w:b/>
      <w:bCs/>
      <w:color w:val="0A1929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00BCD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2026-03-06T10:39:15.928Z</dcterms:created>
  <dcterms:modified xsi:type="dcterms:W3CDTF">2026-03-06T10:39:15.929Z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