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Hardship Policy</w:t>
      </w:r>
    </w:p>
    <w:p>
      <w:r>
        <w:t># Financial Hardship Policy - High Street Vet</w:t>
      </w:r>
    </w:p>
    <w:p/>
    <w:p>
      <w:pPr>
        <w:pStyle w:val="Heading3"/>
      </w:pPr>
      <w:r>
        <w:t>**Framework for handling client payment difficulties**</w:t>
      </w:r>
    </w:p>
    <w:p/>
    <w:p>
      <w:r>
        <w:t>---</w:t>
      </w:r>
    </w:p>
    <w:p/>
    <w:p>
      <w:pPr>
        <w:pStyle w:val="Heading2"/>
      </w:pPr>
      <w:r>
        <w:t>OUR APPROACH</w:t>
      </w:r>
    </w:p>
    <w:p>
      <w:r>
        <w:t>Operate from a place of strength</w:t>
      </w:r>
    </w:p>
    <w:p/>
    <w:p>
      <w:r>
        <w:t>---</w:t>
      </w:r>
    </w:p>
    <w:p/>
    <w:p>
      <w:pPr>
        <w:pStyle w:val="Heading2"/>
      </w:pPr>
      <w:r>
        <w:t>ANNUAL BUDGET</w:t>
      </w:r>
    </w:p>
    <w:p>
      <w:r>
        <w:t>$[X] allocated for pro bono/charity cases</w:t>
      </w:r>
    </w:p>
    <w:p>
      <w:pPr>
        <w:pStyle w:val="ListBullet"/>
      </w:pPr>
      <w:r>
        <w:t>- Approved by leadership annually</w:t>
      </w:r>
    </w:p>
    <w:p>
      <w:pPr>
        <w:pStyle w:val="ListBullet"/>
      </w:pPr>
      <w:r>
        <w:t>- Not for ad-hoc decisions</w:t>
      </w:r>
    </w:p>
    <w:p/>
    <w:p>
      <w:r>
        <w:t>---</w:t>
      </w:r>
    </w:p>
    <w:p/>
    <w:p>
      <w:pPr>
        <w:pStyle w:val="Heading2"/>
      </w:pPr>
      <w:r>
        <w:t>GUIDELINES</w:t>
      </w:r>
    </w:p>
    <w:p/>
    <w:p>
      <w:r>
        <w:t xml:space="preserve">1. </w:t>
      </w:r>
      <w:r>
        <w:rPr>
          <w:b/>
        </w:rPr>
        <w:t>Heartworm treatment</w:t>
      </w:r>
      <w:r/>
    </w:p>
    <w:p>
      <w:pPr>
        <w:pStyle w:val="ListBullet"/>
      </w:pPr>
      <w:r>
        <w:t>- Case-by-case, budget-dependent</w:t>
      </w:r>
    </w:p>
    <w:p/>
    <w:p>
      <w:r>
        <w:t xml:space="preserve">2. </w:t>
      </w:r>
      <w:r>
        <w:rPr>
          <w:b/>
        </w:rPr>
        <w:t>Emergency care</w:t>
      </w:r>
      <w:r/>
    </w:p>
    <w:p>
      <w:pPr>
        <w:pStyle w:val="ListBullet"/>
      </w:pPr>
      <w:r>
        <w:t>- Assess situation</w:t>
      </w:r>
    </w:p>
    <w:p>
      <w:pPr>
        <w:pStyle w:val="ListBullet"/>
      </w:pPr>
      <w:r>
        <w:t>- Offer payment plans</w:t>
      </w:r>
    </w:p>
    <w:p/>
    <w:p>
      <w:r>
        <w:t xml:space="preserve">3. </w:t>
      </w:r>
      <w:r>
        <w:rPr>
          <w:b/>
        </w:rPr>
        <w:t>Charity cases</w:t>
      </w:r>
      <w:r/>
    </w:p>
    <w:p>
      <w:pPr>
        <w:pStyle w:val="ListBullet"/>
      </w:pPr>
      <w:r>
        <w:t>- Pre-approved only</w:t>
      </w:r>
    </w:p>
    <w:p>
      <w:pPr>
        <w:pStyle w:val="ListBullet"/>
      </w:pPr>
      <w:r>
        <w:t>- Document all decisions</w:t>
      </w:r>
    </w:p>
    <w:p/>
    <w:p>
      <w:r>
        <w:t>---</w:t>
      </w:r>
    </w:p>
    <w:p/>
    <w:p>
      <w:pPr>
        <w:pStyle w:val="Heading2"/>
      </w:pPr>
      <w:r>
        <w:t>PROCESS</w:t>
      </w:r>
    </w:p>
    <w:p>
      <w:pPr>
        <w:pStyle w:val="ListBullet"/>
      </w:pPr>
      <w:r>
        <w:t>- Staff to discuss with Jocelyn before committing</w:t>
      </w:r>
    </w:p>
    <w:p>
      <w:pPr>
        <w:pStyle w:val="ListBullet"/>
      </w:pPr>
      <w:r>
        <w:t>- Document all pro bono cases for annual review</w:t>
      </w:r>
    </w:p>
    <w:p>
      <w:pPr>
        <w:pStyle w:val="ListBullet"/>
      </w:pPr>
      <w:r>
        <w:t>- Review budget quarterly</w:t>
      </w:r>
    </w:p>
    <w:p/>
    <w:p>
      <w:r>
        <w:t>---</w:t>
      </w:r>
    </w:p>
    <w:p/>
    <w:p>
      <w:r>
        <w:t>*Prepared by Brendan Rogers - Leader By Design*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