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Points of Dispute</w:t>
      </w:r>
    </w:p>
    <w:p>
      <w:r>
        <w:t>These Points of Dispute are served on behalf of the Defendant in response to the Claimant’s Bill of Costs dated 1 May 2025 in respect of claim CL-2024-000123. The Defendant disputes the costs claimed on the following grounds: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Item No.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Objection</w:t>
            </w:r>
          </w:p>
        </w:tc>
        <w:tc>
          <w:tcPr>
            <w:tcW w:type="dxa" w:w="2160"/>
          </w:tcPr>
          <w:p>
            <w:r>
              <w:t>Justification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Initial client meeting and instructions (Grade A, 1.5 hrs)</w:t>
            </w:r>
          </w:p>
        </w:tc>
        <w:tc>
          <w:tcPr>
            <w:tcW w:type="dxa" w:w="2160"/>
          </w:tcPr>
          <w:p>
            <w:r>
              <w:t>Excessive hourly rate</w:t>
            </w:r>
          </w:p>
        </w:tc>
        <w:tc>
          <w:tcPr>
            <w:tcW w:type="dxa" w:w="2160"/>
          </w:tcPr>
          <w:p>
            <w:r>
              <w:t>The use of a Grade A fee earner is unjustified at this early stage.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Drafting letter before action (Grade B, 2.0 hrs)</w:t>
            </w:r>
          </w:p>
        </w:tc>
        <w:tc>
          <w:tcPr>
            <w:tcW w:type="dxa" w:w="2160"/>
          </w:tcPr>
          <w:p>
            <w:r>
              <w:t>Duplicative work</w:t>
            </w:r>
          </w:p>
        </w:tc>
        <w:tc>
          <w:tcPr>
            <w:tcW w:type="dxa" w:w="2160"/>
          </w:tcPr>
          <w:p>
            <w:r>
              <w:t>This work duplicates initial advice and should be reduced. Time also appears excessive.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Case management conference (Grade B, 2.5 hrs)</w:t>
            </w:r>
          </w:p>
        </w:tc>
        <w:tc>
          <w:tcPr>
            <w:tcW w:type="dxa" w:w="2160"/>
          </w:tcPr>
          <w:p>
            <w:r>
              <w:t>Excessive time claimed</w:t>
            </w:r>
          </w:p>
        </w:tc>
        <w:tc>
          <w:tcPr>
            <w:tcW w:type="dxa" w:w="2160"/>
          </w:tcPr>
          <w:p>
            <w:r>
              <w:t>Standard attendance at CMC should not exceed 1.5 hrs. The rate is not proportionate.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Preparing trial bundle and attending trial – Day 1 (Grade A, 6.0 hrs)</w:t>
            </w:r>
          </w:p>
        </w:tc>
        <w:tc>
          <w:tcPr>
            <w:tcW w:type="dxa" w:w="2160"/>
          </w:tcPr>
          <w:p>
            <w:r>
              <w:t>Unreasonable length of time</w:t>
            </w:r>
          </w:p>
        </w:tc>
        <w:tc>
          <w:tcPr>
            <w:tcW w:type="dxa" w:w="2160"/>
          </w:tcPr>
          <w:p>
            <w:r>
              <w:t>Claimant’s solicitors had conduct throughout. Preparing bundle should have been minimal.</w:t>
            </w:r>
          </w:p>
        </w:tc>
      </w:tr>
    </w:tbl>
    <w:p>
      <w:r>
        <w:br/>
        <w:t>The Defendant reserves the right to add further Points of Dispute upon receipt of further documentation or clarification.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